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E4C125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3878C0">
        <w:rPr>
          <w:rFonts w:cs="Arial"/>
          <w:color w:val="000000"/>
          <w:sz w:val="24"/>
          <w:szCs w:val="24"/>
        </w:rPr>
        <w:t>900326</w:t>
      </w:r>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B0A253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F1486">
        <w:rPr>
          <w:rFonts w:ascii="Arial" w:hAnsi="Arial"/>
          <w:sz w:val="24"/>
          <w:lang w:val="en-US"/>
        </w:rPr>
        <w:t>7.11.1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AC48C1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D6228">
        <w:rPr>
          <w:rFonts w:ascii="Arial" w:hAnsi="Arial"/>
          <w:sz w:val="24"/>
          <w:lang w:val="en-US"/>
        </w:rPr>
        <w:t xml:space="preserve">On R16 additional enhancements to </w:t>
      </w:r>
      <w:r w:rsidR="00D97694">
        <w:rPr>
          <w:rFonts w:ascii="Arial" w:hAnsi="Arial"/>
          <w:sz w:val="24"/>
          <w:lang w:val="en-US"/>
        </w:rPr>
        <w:t>MTC LTE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6C30C0D" w:rsidR="003A3520" w:rsidRDefault="009046D1" w:rsidP="00017422">
      <w:pPr>
        <w:pStyle w:val="Heading1"/>
        <w:rPr>
          <w:lang w:val="en-US"/>
        </w:rPr>
      </w:pPr>
      <w:r>
        <w:rPr>
          <w:lang w:val="en-US"/>
        </w:rPr>
        <w:t>Introduction</w:t>
      </w:r>
    </w:p>
    <w:p w14:paraId="63B22E1B" w14:textId="3613EBAB" w:rsidR="00E7044A" w:rsidRDefault="00E7044A" w:rsidP="00E7044A">
      <w:pPr>
        <w:rPr>
          <w:lang w:val="en-US"/>
        </w:rPr>
      </w:pPr>
      <w:r>
        <w:rPr>
          <w:lang w:val="en-US"/>
        </w:rPr>
        <w:t xml:space="preserve">In </w:t>
      </w:r>
      <w:r w:rsidR="00AD6228">
        <w:rPr>
          <w:lang w:val="en-US"/>
        </w:rPr>
        <w:t xml:space="preserve">RAN plenary meeting #82, WID for additional enhancement to </w:t>
      </w:r>
      <w:r w:rsidR="0067035F">
        <w:rPr>
          <w:lang w:val="en-US"/>
        </w:rPr>
        <w:t>MTC</w:t>
      </w:r>
      <w:r w:rsidR="00AD6228">
        <w:rPr>
          <w:lang w:val="en-US"/>
        </w:rPr>
        <w:t xml:space="preserve"> was approved with the following objectives that requires RAN4 engagement</w:t>
      </w:r>
      <w:r w:rsidR="00423FFE">
        <w:rPr>
          <w:lang w:val="en-US"/>
        </w:rPr>
        <w:t xml:space="preserve"> [1]</w:t>
      </w:r>
      <w:r w:rsidR="00AD6228">
        <w:rPr>
          <w:lang w:val="en-US"/>
        </w:rPr>
        <w:t>:</w:t>
      </w:r>
      <w:r>
        <w:rPr>
          <w:lang w:val="en-US"/>
        </w:rPr>
        <w:t xml:space="preserve"> </w:t>
      </w:r>
    </w:p>
    <w:p w14:paraId="2A25011C" w14:textId="52E9ED33" w:rsidR="00E7044A" w:rsidRDefault="00E7044A" w:rsidP="00E7044A">
      <w:pPr>
        <w:rPr>
          <w:lang w:val="en-US"/>
        </w:rPr>
      </w:pPr>
      <w:r w:rsidRPr="0074147F">
        <w:rPr>
          <w:noProof/>
          <w:lang w:val="en-US" w:eastAsia="zh-CN"/>
        </w:rPr>
        <mc:AlternateContent>
          <mc:Choice Requires="wps">
            <w:drawing>
              <wp:inline distT="0" distB="0" distL="0" distR="0" wp14:anchorId="32186148" wp14:editId="0F58A395">
                <wp:extent cx="5881420" cy="6267450"/>
                <wp:effectExtent l="0" t="0" r="2413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267450"/>
                        </a:xfrm>
                        <a:prstGeom prst="rect">
                          <a:avLst/>
                        </a:prstGeom>
                        <a:solidFill>
                          <a:srgbClr val="FFFFFF"/>
                        </a:solidFill>
                        <a:ln w="9525">
                          <a:solidFill>
                            <a:srgbClr val="000000"/>
                          </a:solidFill>
                          <a:miter lim="800000"/>
                          <a:headEnd/>
                          <a:tailEnd/>
                        </a:ln>
                      </wps:spPr>
                      <wps:txbx>
                        <w:txbxContent>
                          <w:p w14:paraId="0E42E9B7" w14:textId="77777777" w:rsidR="005527EC" w:rsidRPr="00BE6C0C" w:rsidRDefault="005527EC" w:rsidP="00AD6228">
                            <w:pPr>
                              <w:overflowPunct w:val="0"/>
                              <w:autoSpaceDE w:val="0"/>
                              <w:autoSpaceDN w:val="0"/>
                              <w:adjustRightInd w:val="0"/>
                              <w:spacing w:after="0"/>
                              <w:textAlignment w:val="baseline"/>
                              <w:rPr>
                                <w:bCs/>
                              </w:rPr>
                            </w:pPr>
                          </w:p>
                          <w:p w14:paraId="24FEBD2C" w14:textId="77777777" w:rsidR="005527EC" w:rsidRDefault="005527EC" w:rsidP="0067035F">
                            <w:pPr>
                              <w:spacing w:after="0"/>
                              <w:rPr>
                                <w:b/>
                                <w:bCs/>
                              </w:rPr>
                            </w:pPr>
                            <w:r>
                              <w:rPr>
                                <w:b/>
                                <w:bCs/>
                              </w:rPr>
                              <w:t>Improved DL transmission efficiency and/or UE power consumption:</w:t>
                            </w:r>
                          </w:p>
                          <w:p w14:paraId="741AE77F" w14:textId="77777777" w:rsidR="005527EC" w:rsidRDefault="005527EC" w:rsidP="0067035F">
                            <w:pPr>
                              <w:numPr>
                                <w:ilvl w:val="0"/>
                                <w:numId w:val="21"/>
                              </w:numPr>
                              <w:overflowPunct w:val="0"/>
                              <w:autoSpaceDE w:val="0"/>
                              <w:autoSpaceDN w:val="0"/>
                              <w:adjustRightInd w:val="0"/>
                              <w:spacing w:after="0"/>
                              <w:rPr>
                                <w:bCs/>
                              </w:rPr>
                            </w:pPr>
                            <w:bookmarkStart w:id="0" w:name="_Hlk515907705"/>
                            <w:r>
                              <w:rPr>
                                <w:bCs/>
                              </w:rPr>
                              <w:t>Specify quality report in MSG3 at least for EDT [RAN1, RAN2]</w:t>
                            </w:r>
                          </w:p>
                          <w:p w14:paraId="472FD7EA" w14:textId="77777777" w:rsidR="005527EC" w:rsidRDefault="005527EC" w:rsidP="0067035F">
                            <w:pPr>
                              <w:numPr>
                                <w:ilvl w:val="0"/>
                                <w:numId w:val="21"/>
                              </w:numPr>
                              <w:overflowPunct w:val="0"/>
                              <w:autoSpaceDE w:val="0"/>
                              <w:autoSpaceDN w:val="0"/>
                              <w:adjustRightInd w:val="0"/>
                              <w:spacing w:after="0"/>
                              <w:rPr>
                                <w:bCs/>
                              </w:rPr>
                            </w:pPr>
                            <w:r>
                              <w:rPr>
                                <w:bCs/>
                              </w:rPr>
                              <w:t xml:space="preserve">Specify aperiodic quality report in connected mode using same quality definition as in Msg3 [RAN1, RAN2, </w:t>
                            </w:r>
                            <w:r w:rsidRPr="0067035F">
                              <w:rPr>
                                <w:bCs/>
                                <w:highlight w:val="green"/>
                              </w:rPr>
                              <w:t>RAN4</w:t>
                            </w:r>
                            <w:r>
                              <w:rPr>
                                <w:bCs/>
                              </w:rPr>
                              <w:t>]</w:t>
                            </w:r>
                          </w:p>
                          <w:bookmarkEnd w:id="0"/>
                          <w:p w14:paraId="117B11B0" w14:textId="77777777" w:rsidR="005527EC" w:rsidRDefault="005527EC" w:rsidP="0067035F">
                            <w:pPr>
                              <w:numPr>
                                <w:ilvl w:val="0"/>
                                <w:numId w:val="21"/>
                              </w:numPr>
                              <w:overflowPunct w:val="0"/>
                              <w:autoSpaceDE w:val="0"/>
                              <w:autoSpaceDN w:val="0"/>
                              <w:adjustRightInd w:val="0"/>
                              <w:spacing w:after="0"/>
                              <w:rPr>
                                <w:bCs/>
                              </w:rPr>
                            </w:pPr>
                            <w:r>
                              <w:rPr>
                                <w:bCs/>
                              </w:rPr>
                              <w:t xml:space="preserve">Specify MPDCCH performance improvement by using CRS at least for connected mode [RAN1, RAN2, </w:t>
                            </w:r>
                            <w:r w:rsidRPr="0067035F">
                              <w:rPr>
                                <w:bCs/>
                                <w:highlight w:val="green"/>
                              </w:rPr>
                              <w:t>RAN4</w:t>
                            </w:r>
                            <w:r>
                              <w:rPr>
                                <w:bCs/>
                              </w:rPr>
                              <w:t>]</w:t>
                            </w:r>
                          </w:p>
                          <w:p w14:paraId="39625312" w14:textId="77777777" w:rsidR="005527EC" w:rsidRDefault="005527EC" w:rsidP="0067035F">
                            <w:pPr>
                              <w:numPr>
                                <w:ilvl w:val="0"/>
                                <w:numId w:val="21"/>
                              </w:numPr>
                              <w:overflowPunct w:val="0"/>
                              <w:autoSpaceDE w:val="0"/>
                              <w:autoSpaceDN w:val="0"/>
                              <w:adjustRightInd w:val="0"/>
                              <w:spacing w:after="0"/>
                              <w:rPr>
                                <w:bCs/>
                              </w:rPr>
                            </w:pPr>
                            <w:r>
                              <w:rPr>
                                <w:bCs/>
                              </w:rPr>
                              <w:t xml:space="preserve">Specify support for UE-group wake-up signal (WUS) [RAN1, RAN2, </w:t>
                            </w:r>
                            <w:r w:rsidRPr="0067035F">
                              <w:rPr>
                                <w:bCs/>
                                <w:highlight w:val="green"/>
                              </w:rPr>
                              <w:t>RAN4</w:t>
                            </w:r>
                            <w:r>
                              <w:rPr>
                                <w:bCs/>
                              </w:rPr>
                              <w:t>]</w:t>
                            </w:r>
                          </w:p>
                          <w:p w14:paraId="113F0B1F" w14:textId="121F5DF5" w:rsidR="005527EC" w:rsidRDefault="005527EC" w:rsidP="00E7044A">
                            <w:pPr>
                              <w:rPr>
                                <w:sz w:val="18"/>
                                <w:szCs w:val="18"/>
                                <w:lang w:val="en-US"/>
                              </w:rPr>
                            </w:pPr>
                          </w:p>
                          <w:p w14:paraId="7B7E2ED0" w14:textId="77777777" w:rsidR="005527EC" w:rsidRDefault="005527EC" w:rsidP="0067035F">
                            <w:pPr>
                              <w:spacing w:after="0"/>
                              <w:rPr>
                                <w:b/>
                                <w:bCs/>
                              </w:rPr>
                            </w:pPr>
                            <w:r>
                              <w:rPr>
                                <w:b/>
                                <w:bCs/>
                              </w:rPr>
                              <w:t>Improved UL transmission efficiency and/or UE power consumption:</w:t>
                            </w:r>
                          </w:p>
                          <w:p w14:paraId="32D6E729" w14:textId="77777777" w:rsidR="005527EC" w:rsidRDefault="005527EC" w:rsidP="0067035F">
                            <w:pPr>
                              <w:numPr>
                                <w:ilvl w:val="0"/>
                                <w:numId w:val="22"/>
                              </w:numPr>
                              <w:overflowPunct w:val="0"/>
                              <w:autoSpaceDE w:val="0"/>
                              <w:autoSpaceDN w:val="0"/>
                              <w:adjustRightInd w:val="0"/>
                              <w:spacing w:after="0"/>
                              <w:rPr>
                                <w:bCs/>
                              </w:rPr>
                            </w:pPr>
                            <w:bookmarkStart w:id="1" w:name="_Hlk516687799"/>
                            <w:r>
                              <w:rPr>
                                <w:bCs/>
                              </w:rPr>
                              <w:t>Specify support for transmission in preconfigured resources in idle and/or connected mode based on SC-FDMA waveform for UEs with a valid timing advance [RAN1, RAN2</w:t>
                            </w:r>
                            <w:bookmarkStart w:id="2" w:name="_Hlk516765211"/>
                            <w:r>
                              <w:rPr>
                                <w:bCs/>
                              </w:rPr>
                              <w:t xml:space="preserve">, </w:t>
                            </w:r>
                            <w:r w:rsidRPr="0067035F">
                              <w:rPr>
                                <w:bCs/>
                                <w:highlight w:val="green"/>
                              </w:rPr>
                              <w:t>RAN</w:t>
                            </w:r>
                            <w:bookmarkEnd w:id="2"/>
                            <w:r w:rsidRPr="0067035F">
                              <w:rPr>
                                <w:bCs/>
                                <w:highlight w:val="green"/>
                              </w:rPr>
                              <w:t>4</w:t>
                            </w:r>
                            <w:r>
                              <w:rPr>
                                <w:bCs/>
                              </w:rPr>
                              <w:t>]</w:t>
                            </w:r>
                          </w:p>
                          <w:p w14:paraId="796EE4A3" w14:textId="77777777" w:rsidR="005527EC" w:rsidRDefault="005527EC" w:rsidP="0067035F">
                            <w:pPr>
                              <w:numPr>
                                <w:ilvl w:val="1"/>
                                <w:numId w:val="22"/>
                              </w:numPr>
                              <w:overflowPunct w:val="0"/>
                              <w:autoSpaceDE w:val="0"/>
                              <w:autoSpaceDN w:val="0"/>
                              <w:adjustRightInd w:val="0"/>
                              <w:spacing w:after="0"/>
                              <w:rPr>
                                <w:bCs/>
                              </w:rPr>
                            </w:pPr>
                            <w:r>
                              <w:rPr>
                                <w:bCs/>
                              </w:rPr>
                              <w:t>Both shared resources and dedicated resources can be discussed</w:t>
                            </w:r>
                          </w:p>
                          <w:p w14:paraId="2E462BC4" w14:textId="77777777" w:rsidR="005527EC" w:rsidRDefault="005527EC" w:rsidP="0067035F">
                            <w:pPr>
                              <w:numPr>
                                <w:ilvl w:val="1"/>
                                <w:numId w:val="22"/>
                              </w:numPr>
                              <w:overflowPunct w:val="0"/>
                              <w:autoSpaceDE w:val="0"/>
                              <w:autoSpaceDN w:val="0"/>
                              <w:adjustRightInd w:val="0"/>
                              <w:spacing w:after="0"/>
                              <w:rPr>
                                <w:bCs/>
                              </w:rPr>
                            </w:pPr>
                            <w:r>
                              <w:rPr>
                                <w:bCs/>
                              </w:rPr>
                              <w:t>Note: This is limited to orthogonal (multi) access schemes</w:t>
                            </w:r>
                            <w:bookmarkEnd w:id="1"/>
                          </w:p>
                          <w:p w14:paraId="58643ABF" w14:textId="692729EA" w:rsidR="005527EC" w:rsidRDefault="005527EC" w:rsidP="00E7044A">
                            <w:pPr>
                              <w:rPr>
                                <w:sz w:val="18"/>
                                <w:szCs w:val="18"/>
                                <w:lang w:val="en-US"/>
                              </w:rPr>
                            </w:pPr>
                          </w:p>
                          <w:p w14:paraId="0517EF04" w14:textId="77777777" w:rsidR="005527EC" w:rsidRDefault="005527EC" w:rsidP="0067035F">
                            <w:pPr>
                              <w:spacing w:after="0"/>
                              <w:rPr>
                                <w:b/>
                                <w:bCs/>
                              </w:rPr>
                            </w:pPr>
                            <w:r>
                              <w:rPr>
                                <w:b/>
                                <w:bCs/>
                              </w:rPr>
                              <w:t>Extreme coverage for non-BL UEs:</w:t>
                            </w:r>
                          </w:p>
                          <w:p w14:paraId="0239221B" w14:textId="77777777" w:rsidR="005527EC" w:rsidRDefault="005527EC" w:rsidP="0067035F">
                            <w:pPr>
                              <w:numPr>
                                <w:ilvl w:val="0"/>
                                <w:numId w:val="23"/>
                              </w:numPr>
                              <w:overflowPunct w:val="0"/>
                              <w:autoSpaceDE w:val="0"/>
                              <w:autoSpaceDN w:val="0"/>
                              <w:adjustRightInd w:val="0"/>
                              <w:spacing w:after="0"/>
                              <w:rPr>
                                <w:bCs/>
                              </w:rPr>
                            </w:pPr>
                            <w:r>
                              <w:rPr>
                                <w:bCs/>
                              </w:rPr>
                              <w:t xml:space="preserve">Specify CE mode A and B improvements for non-BL UEs from among the following list [RAN1, RAN2, </w:t>
                            </w:r>
                            <w:r w:rsidRPr="0067035F">
                              <w:rPr>
                                <w:bCs/>
                                <w:highlight w:val="green"/>
                              </w:rPr>
                              <w:t>RAN4</w:t>
                            </w:r>
                            <w:r>
                              <w:rPr>
                                <w:bCs/>
                              </w:rPr>
                              <w:t>]</w:t>
                            </w:r>
                          </w:p>
                          <w:p w14:paraId="64DE1B61" w14:textId="77777777" w:rsidR="005527EC" w:rsidRDefault="005527EC" w:rsidP="0067035F">
                            <w:pPr>
                              <w:numPr>
                                <w:ilvl w:val="1"/>
                                <w:numId w:val="23"/>
                              </w:numPr>
                              <w:overflowPunct w:val="0"/>
                              <w:autoSpaceDE w:val="0"/>
                              <w:autoSpaceDN w:val="0"/>
                              <w:adjustRightInd w:val="0"/>
                              <w:spacing w:after="0"/>
                              <w:rPr>
                                <w:bCs/>
                              </w:rPr>
                            </w:pPr>
                            <w:r>
                              <w:rPr>
                                <w:bCs/>
                              </w:rPr>
                              <w:t>Enhancements to idle mode mobility</w:t>
                            </w:r>
                          </w:p>
                          <w:p w14:paraId="37CD5393" w14:textId="77777777" w:rsidR="005527EC" w:rsidRDefault="005527EC" w:rsidP="0067035F">
                            <w:pPr>
                              <w:numPr>
                                <w:ilvl w:val="1"/>
                                <w:numId w:val="23"/>
                              </w:numPr>
                              <w:overflowPunct w:val="0"/>
                              <w:autoSpaceDE w:val="0"/>
                              <w:autoSpaceDN w:val="0"/>
                              <w:adjustRightInd w:val="0"/>
                              <w:spacing w:after="0"/>
                              <w:rPr>
                                <w:bCs/>
                              </w:rPr>
                            </w:pPr>
                            <w:r>
                              <w:rPr>
                                <w:bCs/>
                              </w:rPr>
                              <w:t>UE demodulation performance requirements for 2 RX antennas and full duplex FDD</w:t>
                            </w:r>
                          </w:p>
                          <w:p w14:paraId="5B0BF821" w14:textId="77777777" w:rsidR="005527EC" w:rsidRDefault="005527EC" w:rsidP="0067035F">
                            <w:pPr>
                              <w:numPr>
                                <w:ilvl w:val="1"/>
                                <w:numId w:val="23"/>
                              </w:numPr>
                              <w:overflowPunct w:val="0"/>
                              <w:autoSpaceDE w:val="0"/>
                              <w:autoSpaceDN w:val="0"/>
                              <w:adjustRightInd w:val="0"/>
                              <w:spacing w:after="0"/>
                              <w:rPr>
                                <w:bCs/>
                              </w:rPr>
                            </w:pPr>
                            <w:r>
                              <w:rPr>
                                <w:bCs/>
                              </w:rPr>
                              <w:t>Dual layer DL reception</w:t>
                            </w:r>
                          </w:p>
                          <w:p w14:paraId="753AFFFF" w14:textId="77777777" w:rsidR="005527EC" w:rsidRDefault="005527EC" w:rsidP="0067035F">
                            <w:pPr>
                              <w:numPr>
                                <w:ilvl w:val="1"/>
                                <w:numId w:val="23"/>
                              </w:numPr>
                              <w:overflowPunct w:val="0"/>
                              <w:autoSpaceDE w:val="0"/>
                              <w:autoSpaceDN w:val="0"/>
                              <w:adjustRightInd w:val="0"/>
                              <w:spacing w:after="0"/>
                              <w:rPr>
                                <w:bCs/>
                              </w:rPr>
                            </w:pPr>
                            <w:r>
                              <w:rPr>
                                <w:bCs/>
                              </w:rPr>
                              <w:t>Feedback based on CSI-RS</w:t>
                            </w:r>
                          </w:p>
                          <w:p w14:paraId="737BDD0F" w14:textId="77777777" w:rsidR="005527EC" w:rsidRDefault="005527EC" w:rsidP="0067035F">
                            <w:pPr>
                              <w:numPr>
                                <w:ilvl w:val="1"/>
                                <w:numId w:val="23"/>
                              </w:numPr>
                              <w:overflowPunct w:val="0"/>
                              <w:autoSpaceDE w:val="0"/>
                              <w:autoSpaceDN w:val="0"/>
                              <w:adjustRightInd w:val="0"/>
                              <w:spacing w:after="0"/>
                              <w:rPr>
                                <w:bCs/>
                              </w:rPr>
                            </w:pPr>
                            <w:r>
                              <w:rPr>
                                <w:bCs/>
                              </w:rPr>
                              <w:t>ETWS/CMAS in connected mode</w:t>
                            </w:r>
                          </w:p>
                          <w:p w14:paraId="1E7FF65D" w14:textId="41C4067A" w:rsidR="005527EC" w:rsidRDefault="005527EC" w:rsidP="00E7044A">
                            <w:pPr>
                              <w:rPr>
                                <w:sz w:val="18"/>
                                <w:szCs w:val="18"/>
                                <w:lang w:val="en-US"/>
                              </w:rPr>
                            </w:pPr>
                          </w:p>
                          <w:p w14:paraId="3C3B5A98" w14:textId="77777777" w:rsidR="005527EC" w:rsidRDefault="005527EC" w:rsidP="0067035F">
                            <w:pPr>
                              <w:spacing w:after="0"/>
                              <w:rPr>
                                <w:b/>
                                <w:bCs/>
                              </w:rPr>
                            </w:pPr>
                            <w:r>
                              <w:rPr>
                                <w:b/>
                                <w:bCs/>
                              </w:rPr>
                              <w:t>Stand-alone deployment:</w:t>
                            </w:r>
                          </w:p>
                          <w:p w14:paraId="4C0F5E99" w14:textId="77777777" w:rsidR="005527EC" w:rsidRDefault="005527EC" w:rsidP="0067035F">
                            <w:pPr>
                              <w:numPr>
                                <w:ilvl w:val="0"/>
                                <w:numId w:val="23"/>
                              </w:numPr>
                              <w:overflowPunct w:val="0"/>
                              <w:autoSpaceDE w:val="0"/>
                              <w:autoSpaceDN w:val="0"/>
                              <w:adjustRightInd w:val="0"/>
                              <w:spacing w:after="0"/>
                              <w:rPr>
                                <w:bCs/>
                              </w:rPr>
                            </w:pPr>
                            <w:r>
                              <w:rPr>
                                <w:bCs/>
                              </w:rPr>
                              <w:t xml:space="preserve">Enable the use of LTE control channel region for DL transmission (MPDCCH/PDSCH) to BL/CE UEs [RAN1, RAN2, </w:t>
                            </w:r>
                            <w:r w:rsidRPr="0067035F">
                              <w:rPr>
                                <w:bCs/>
                                <w:highlight w:val="green"/>
                              </w:rPr>
                              <w:t>RAN4</w:t>
                            </w:r>
                            <w:r>
                              <w:rPr>
                                <w:bCs/>
                              </w:rPr>
                              <w:t>]</w:t>
                            </w:r>
                          </w:p>
                          <w:p w14:paraId="04ACE435" w14:textId="77777777" w:rsidR="005527EC" w:rsidRDefault="005527EC" w:rsidP="0067035F">
                            <w:pPr>
                              <w:numPr>
                                <w:ilvl w:val="1"/>
                                <w:numId w:val="23"/>
                              </w:numPr>
                              <w:overflowPunct w:val="0"/>
                              <w:autoSpaceDE w:val="0"/>
                              <w:autoSpaceDN w:val="0"/>
                              <w:adjustRightInd w:val="0"/>
                              <w:spacing w:after="0"/>
                              <w:rPr>
                                <w:bCs/>
                              </w:rPr>
                            </w:pPr>
                            <w:r>
                              <w:rPr>
                                <w:bCs/>
                              </w:rPr>
                              <w:t>This deployment mode should support legacy operation for legacy BL/CE UEs.</w:t>
                            </w:r>
                          </w:p>
                          <w:p w14:paraId="18394047" w14:textId="1B5DFD44" w:rsidR="005527EC" w:rsidRDefault="005527EC" w:rsidP="00E7044A">
                            <w:pPr>
                              <w:rPr>
                                <w:sz w:val="18"/>
                                <w:szCs w:val="18"/>
                                <w:lang w:val="en-US"/>
                              </w:rPr>
                            </w:pPr>
                          </w:p>
                          <w:p w14:paraId="4B2863D9" w14:textId="77777777" w:rsidR="005527EC" w:rsidRDefault="005527EC" w:rsidP="0067035F">
                            <w:pPr>
                              <w:spacing w:after="0"/>
                              <w:rPr>
                                <w:b/>
                                <w:bCs/>
                              </w:rPr>
                            </w:pPr>
                            <w:r>
                              <w:rPr>
                                <w:b/>
                                <w:bCs/>
                              </w:rPr>
                              <w:t>Mobility Enhancement:</w:t>
                            </w:r>
                          </w:p>
                          <w:p w14:paraId="678B5F69" w14:textId="77777777" w:rsidR="005527EC" w:rsidRDefault="005527EC" w:rsidP="0067035F">
                            <w:pPr>
                              <w:numPr>
                                <w:ilvl w:val="0"/>
                                <w:numId w:val="24"/>
                              </w:numPr>
                              <w:overflowPunct w:val="0"/>
                              <w:autoSpaceDE w:val="0"/>
                              <w:autoSpaceDN w:val="0"/>
                              <w:adjustRightInd w:val="0"/>
                              <w:spacing w:after="0"/>
                              <w:rPr>
                                <w:bCs/>
                              </w:rPr>
                            </w:pPr>
                            <w:r>
                              <w:rPr>
                                <w:bCs/>
                              </w:rPr>
                              <w:t xml:space="preserve">Consider improving the DL RSRP and, if needed, RSRQ measurement accuracy, through use of RSS [RAN1, </w:t>
                            </w:r>
                            <w:r w:rsidRPr="0067035F">
                              <w:rPr>
                                <w:bCs/>
                                <w:highlight w:val="green"/>
                              </w:rPr>
                              <w:t>RAN4</w:t>
                            </w:r>
                            <w:r>
                              <w:rPr>
                                <w:bCs/>
                              </w:rPr>
                              <w:t>, RAN2]</w:t>
                            </w:r>
                          </w:p>
                          <w:p w14:paraId="68D82857" w14:textId="77777777" w:rsidR="005527EC" w:rsidRDefault="005527EC" w:rsidP="0067035F">
                            <w:pPr>
                              <w:numPr>
                                <w:ilvl w:val="0"/>
                                <w:numId w:val="24"/>
                              </w:numPr>
                              <w:overflowPunct w:val="0"/>
                              <w:autoSpaceDE w:val="0"/>
                              <w:autoSpaceDN w:val="0"/>
                              <w:adjustRightInd w:val="0"/>
                              <w:spacing w:after="0"/>
                              <w:rPr>
                                <w:bCs/>
                              </w:rPr>
                            </w:pPr>
                            <w:r>
                              <w:rPr>
                                <w:bCs/>
                              </w:rPr>
                              <w:t>Specify relaxation of RRM measurements for serving cell for UEs using WUS for at least low mobility UEs [</w:t>
                            </w:r>
                            <w:r w:rsidRPr="0067035F">
                              <w:rPr>
                                <w:bCs/>
                                <w:highlight w:val="green"/>
                              </w:rPr>
                              <w:t>RAN4</w:t>
                            </w:r>
                            <w:r>
                              <w:rPr>
                                <w:bCs/>
                              </w:rPr>
                              <w:t>, RAN2]</w:t>
                            </w:r>
                          </w:p>
                          <w:p w14:paraId="479092B5" w14:textId="77777777" w:rsidR="005527EC" w:rsidRDefault="005527EC" w:rsidP="0067035F">
                            <w:pPr>
                              <w:spacing w:after="0"/>
                              <w:rPr>
                                <w:b/>
                                <w:bCs/>
                              </w:rPr>
                            </w:pPr>
                          </w:p>
                          <w:p w14:paraId="10590253" w14:textId="77777777" w:rsidR="005527EC" w:rsidRDefault="005527EC" w:rsidP="0067035F">
                            <w:pPr>
                              <w:spacing w:after="0"/>
                              <w:rPr>
                                <w:b/>
                                <w:bCs/>
                              </w:rPr>
                            </w:pPr>
                            <w:r>
                              <w:rPr>
                                <w:b/>
                                <w:bCs/>
                              </w:rPr>
                              <w:t>Coexistence with NR:</w:t>
                            </w:r>
                          </w:p>
                          <w:p w14:paraId="41BAD217" w14:textId="77777777" w:rsidR="005527EC" w:rsidRDefault="005527EC" w:rsidP="0067035F">
                            <w:pPr>
                              <w:numPr>
                                <w:ilvl w:val="0"/>
                                <w:numId w:val="25"/>
                              </w:numPr>
                              <w:overflowPunct w:val="0"/>
                              <w:autoSpaceDE w:val="0"/>
                              <w:autoSpaceDN w:val="0"/>
                              <w:adjustRightInd w:val="0"/>
                              <w:rPr>
                                <w:bCs/>
                              </w:rPr>
                            </w:pPr>
                            <w:r>
                              <w:rPr>
                                <w:bCs/>
                              </w:rPr>
                              <w:t>Study NR and LTE specifications to identify possible issues related to coexistence of LTE-MTC with NR [</w:t>
                            </w:r>
                            <w:r w:rsidRPr="0067035F">
                              <w:rPr>
                                <w:bCs/>
                                <w:highlight w:val="green"/>
                              </w:rPr>
                              <w:t>RAN4</w:t>
                            </w:r>
                            <w:r>
                              <w:rPr>
                                <w:bCs/>
                              </w:rPr>
                              <w:t>, RAN1, RAN2]</w:t>
                            </w:r>
                          </w:p>
                          <w:p w14:paraId="7FC9CB14" w14:textId="77777777" w:rsidR="005527EC" w:rsidRPr="00E7044A" w:rsidRDefault="005527EC" w:rsidP="00E7044A">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32186148" id="_x0000_t202" coordsize="21600,21600" o:spt="202" path="m,l,21600r21600,l21600,xe">
                <v:stroke joinstyle="miter"/>
                <v:path gradientshapeok="t" o:connecttype="rect"/>
              </v:shapetype>
              <v:shape id="Text Box 2" o:spid="_x0000_s1026" type="#_x0000_t202" style="width:463.1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">
                <v:textbox>
                  <w:txbxContent>
                    <w:p w14:paraId="0E42E9B7" w14:textId="77777777" w:rsidR="005527EC" w:rsidRPr="00BE6C0C" w:rsidRDefault="005527EC" w:rsidP="00AD6228">
                      <w:pPr>
                        <w:overflowPunct w:val="0"/>
                        <w:autoSpaceDE w:val="0"/>
                        <w:autoSpaceDN w:val="0"/>
                        <w:adjustRightInd w:val="0"/>
                        <w:spacing w:after="0"/>
                        <w:textAlignment w:val="baseline"/>
                        <w:rPr>
                          <w:bCs/>
                        </w:rPr>
                      </w:pPr>
                    </w:p>
                    <w:p w14:paraId="24FEBD2C" w14:textId="77777777" w:rsidR="005527EC" w:rsidRDefault="005527EC" w:rsidP="0067035F">
                      <w:pPr>
                        <w:spacing w:after="0"/>
                        <w:rPr>
                          <w:b/>
                          <w:bCs/>
                        </w:rPr>
                      </w:pPr>
                      <w:r>
                        <w:rPr>
                          <w:b/>
                          <w:bCs/>
                        </w:rPr>
                        <w:t>Improved DL transmission efficiency and/or UE power consumption:</w:t>
                      </w:r>
                    </w:p>
                    <w:p w14:paraId="741AE77F" w14:textId="77777777" w:rsidR="005527EC" w:rsidRDefault="005527EC" w:rsidP="0067035F">
                      <w:pPr>
                        <w:numPr>
                          <w:ilvl w:val="0"/>
                          <w:numId w:val="21"/>
                        </w:numPr>
                        <w:overflowPunct w:val="0"/>
                        <w:autoSpaceDE w:val="0"/>
                        <w:autoSpaceDN w:val="0"/>
                        <w:adjustRightInd w:val="0"/>
                        <w:spacing w:after="0"/>
                        <w:rPr>
                          <w:bCs/>
                        </w:rPr>
                      </w:pPr>
                      <w:bookmarkStart w:id="3" w:name="_Hlk515907705"/>
                      <w:r>
                        <w:rPr>
                          <w:bCs/>
                        </w:rPr>
                        <w:t>Specify quality report in MSG3 at least for EDT [RAN1, RAN2]</w:t>
                      </w:r>
                    </w:p>
                    <w:p w14:paraId="472FD7EA" w14:textId="77777777" w:rsidR="005527EC" w:rsidRDefault="005527EC" w:rsidP="0067035F">
                      <w:pPr>
                        <w:numPr>
                          <w:ilvl w:val="0"/>
                          <w:numId w:val="21"/>
                        </w:numPr>
                        <w:overflowPunct w:val="0"/>
                        <w:autoSpaceDE w:val="0"/>
                        <w:autoSpaceDN w:val="0"/>
                        <w:adjustRightInd w:val="0"/>
                        <w:spacing w:after="0"/>
                        <w:rPr>
                          <w:bCs/>
                        </w:rPr>
                      </w:pPr>
                      <w:r>
                        <w:rPr>
                          <w:bCs/>
                        </w:rPr>
                        <w:t xml:space="preserve">Specify aperiodic quality report in connected mode using same quality definition as in Msg3 [RAN1, RAN2, </w:t>
                      </w:r>
                      <w:r w:rsidRPr="0067035F">
                        <w:rPr>
                          <w:bCs/>
                          <w:highlight w:val="green"/>
                        </w:rPr>
                        <w:t>RAN4</w:t>
                      </w:r>
                      <w:r>
                        <w:rPr>
                          <w:bCs/>
                        </w:rPr>
                        <w:t>]</w:t>
                      </w:r>
                    </w:p>
                    <w:bookmarkEnd w:id="3"/>
                    <w:p w14:paraId="117B11B0" w14:textId="77777777" w:rsidR="005527EC" w:rsidRDefault="005527EC" w:rsidP="0067035F">
                      <w:pPr>
                        <w:numPr>
                          <w:ilvl w:val="0"/>
                          <w:numId w:val="21"/>
                        </w:numPr>
                        <w:overflowPunct w:val="0"/>
                        <w:autoSpaceDE w:val="0"/>
                        <w:autoSpaceDN w:val="0"/>
                        <w:adjustRightInd w:val="0"/>
                        <w:spacing w:after="0"/>
                        <w:rPr>
                          <w:bCs/>
                        </w:rPr>
                      </w:pPr>
                      <w:r>
                        <w:rPr>
                          <w:bCs/>
                        </w:rPr>
                        <w:t xml:space="preserve">Specify MPDCCH performance improvement by using CRS at least for connected mode [RAN1, RAN2, </w:t>
                      </w:r>
                      <w:r w:rsidRPr="0067035F">
                        <w:rPr>
                          <w:bCs/>
                          <w:highlight w:val="green"/>
                        </w:rPr>
                        <w:t>RAN4</w:t>
                      </w:r>
                      <w:r>
                        <w:rPr>
                          <w:bCs/>
                        </w:rPr>
                        <w:t>]</w:t>
                      </w:r>
                    </w:p>
                    <w:p w14:paraId="39625312" w14:textId="77777777" w:rsidR="005527EC" w:rsidRDefault="005527EC" w:rsidP="0067035F">
                      <w:pPr>
                        <w:numPr>
                          <w:ilvl w:val="0"/>
                          <w:numId w:val="21"/>
                        </w:numPr>
                        <w:overflowPunct w:val="0"/>
                        <w:autoSpaceDE w:val="0"/>
                        <w:autoSpaceDN w:val="0"/>
                        <w:adjustRightInd w:val="0"/>
                        <w:spacing w:after="0"/>
                        <w:rPr>
                          <w:bCs/>
                        </w:rPr>
                      </w:pPr>
                      <w:r>
                        <w:rPr>
                          <w:bCs/>
                        </w:rPr>
                        <w:t xml:space="preserve">Specify support for UE-group wake-up signal (WUS) [RAN1, RAN2, </w:t>
                      </w:r>
                      <w:r w:rsidRPr="0067035F">
                        <w:rPr>
                          <w:bCs/>
                          <w:highlight w:val="green"/>
                        </w:rPr>
                        <w:t>RAN4</w:t>
                      </w:r>
                      <w:r>
                        <w:rPr>
                          <w:bCs/>
                        </w:rPr>
                        <w:t>]</w:t>
                      </w:r>
                    </w:p>
                    <w:p w14:paraId="113F0B1F" w14:textId="121F5DF5" w:rsidR="005527EC" w:rsidRDefault="005527EC" w:rsidP="00E7044A">
                      <w:pPr>
                        <w:rPr>
                          <w:sz w:val="18"/>
                          <w:szCs w:val="18"/>
                          <w:lang w:val="en-US"/>
                        </w:rPr>
                      </w:pPr>
                    </w:p>
                    <w:p w14:paraId="7B7E2ED0" w14:textId="77777777" w:rsidR="005527EC" w:rsidRDefault="005527EC" w:rsidP="0067035F">
                      <w:pPr>
                        <w:spacing w:after="0"/>
                        <w:rPr>
                          <w:b/>
                          <w:bCs/>
                        </w:rPr>
                      </w:pPr>
                      <w:r>
                        <w:rPr>
                          <w:b/>
                          <w:bCs/>
                        </w:rPr>
                        <w:t>Improved UL transmission efficiency and/or UE power consumption:</w:t>
                      </w:r>
                    </w:p>
                    <w:p w14:paraId="32D6E729" w14:textId="77777777" w:rsidR="005527EC" w:rsidRDefault="005527EC" w:rsidP="0067035F">
                      <w:pPr>
                        <w:numPr>
                          <w:ilvl w:val="0"/>
                          <w:numId w:val="22"/>
                        </w:numPr>
                        <w:overflowPunct w:val="0"/>
                        <w:autoSpaceDE w:val="0"/>
                        <w:autoSpaceDN w:val="0"/>
                        <w:adjustRightInd w:val="0"/>
                        <w:spacing w:after="0"/>
                        <w:rPr>
                          <w:bCs/>
                        </w:rPr>
                      </w:pPr>
                      <w:bookmarkStart w:id="4" w:name="_Hlk516687799"/>
                      <w:r>
                        <w:rPr>
                          <w:bCs/>
                        </w:rPr>
                        <w:t>Specify support for transmission in preconfigured resources in idle and/or connected mode based on SC-FDMA waveform for UEs with a valid timing advance [RAN1, RAN2</w:t>
                      </w:r>
                      <w:bookmarkStart w:id="5" w:name="_Hlk516765211"/>
                      <w:r>
                        <w:rPr>
                          <w:bCs/>
                        </w:rPr>
                        <w:t xml:space="preserve">, </w:t>
                      </w:r>
                      <w:r w:rsidRPr="0067035F">
                        <w:rPr>
                          <w:bCs/>
                          <w:highlight w:val="green"/>
                        </w:rPr>
                        <w:t>RAN</w:t>
                      </w:r>
                      <w:bookmarkEnd w:id="5"/>
                      <w:r w:rsidRPr="0067035F">
                        <w:rPr>
                          <w:bCs/>
                          <w:highlight w:val="green"/>
                        </w:rPr>
                        <w:t>4</w:t>
                      </w:r>
                      <w:r>
                        <w:rPr>
                          <w:bCs/>
                        </w:rPr>
                        <w:t>]</w:t>
                      </w:r>
                    </w:p>
                    <w:p w14:paraId="796EE4A3" w14:textId="77777777" w:rsidR="005527EC" w:rsidRDefault="005527EC" w:rsidP="0067035F">
                      <w:pPr>
                        <w:numPr>
                          <w:ilvl w:val="1"/>
                          <w:numId w:val="22"/>
                        </w:numPr>
                        <w:overflowPunct w:val="0"/>
                        <w:autoSpaceDE w:val="0"/>
                        <w:autoSpaceDN w:val="0"/>
                        <w:adjustRightInd w:val="0"/>
                        <w:spacing w:after="0"/>
                        <w:rPr>
                          <w:bCs/>
                        </w:rPr>
                      </w:pPr>
                      <w:r>
                        <w:rPr>
                          <w:bCs/>
                        </w:rPr>
                        <w:t>Both shared resources and dedicated resources can be discussed</w:t>
                      </w:r>
                    </w:p>
                    <w:p w14:paraId="2E462BC4" w14:textId="77777777" w:rsidR="005527EC" w:rsidRDefault="005527EC" w:rsidP="0067035F">
                      <w:pPr>
                        <w:numPr>
                          <w:ilvl w:val="1"/>
                          <w:numId w:val="22"/>
                        </w:numPr>
                        <w:overflowPunct w:val="0"/>
                        <w:autoSpaceDE w:val="0"/>
                        <w:autoSpaceDN w:val="0"/>
                        <w:adjustRightInd w:val="0"/>
                        <w:spacing w:after="0"/>
                        <w:rPr>
                          <w:bCs/>
                        </w:rPr>
                      </w:pPr>
                      <w:r>
                        <w:rPr>
                          <w:bCs/>
                        </w:rPr>
                        <w:t>Note: This is limited to orthogonal (multi) access schemes</w:t>
                      </w:r>
                      <w:bookmarkEnd w:id="4"/>
                    </w:p>
                    <w:p w14:paraId="58643ABF" w14:textId="692729EA" w:rsidR="005527EC" w:rsidRDefault="005527EC" w:rsidP="00E7044A">
                      <w:pPr>
                        <w:rPr>
                          <w:sz w:val="18"/>
                          <w:szCs w:val="18"/>
                          <w:lang w:val="en-US"/>
                        </w:rPr>
                      </w:pPr>
                    </w:p>
                    <w:p w14:paraId="0517EF04" w14:textId="77777777" w:rsidR="005527EC" w:rsidRDefault="005527EC" w:rsidP="0067035F">
                      <w:pPr>
                        <w:spacing w:after="0"/>
                        <w:rPr>
                          <w:b/>
                          <w:bCs/>
                        </w:rPr>
                      </w:pPr>
                      <w:r>
                        <w:rPr>
                          <w:b/>
                          <w:bCs/>
                        </w:rPr>
                        <w:t>Extreme coverage for non-BL UEs:</w:t>
                      </w:r>
                    </w:p>
                    <w:p w14:paraId="0239221B" w14:textId="77777777" w:rsidR="005527EC" w:rsidRDefault="005527EC" w:rsidP="0067035F">
                      <w:pPr>
                        <w:numPr>
                          <w:ilvl w:val="0"/>
                          <w:numId w:val="23"/>
                        </w:numPr>
                        <w:overflowPunct w:val="0"/>
                        <w:autoSpaceDE w:val="0"/>
                        <w:autoSpaceDN w:val="0"/>
                        <w:adjustRightInd w:val="0"/>
                        <w:spacing w:after="0"/>
                        <w:rPr>
                          <w:bCs/>
                        </w:rPr>
                      </w:pPr>
                      <w:r>
                        <w:rPr>
                          <w:bCs/>
                        </w:rPr>
                        <w:t xml:space="preserve">Specify CE mode A and B improvements for non-BL UEs from among the following list [RAN1, RAN2, </w:t>
                      </w:r>
                      <w:r w:rsidRPr="0067035F">
                        <w:rPr>
                          <w:bCs/>
                          <w:highlight w:val="green"/>
                        </w:rPr>
                        <w:t>RAN4</w:t>
                      </w:r>
                      <w:r>
                        <w:rPr>
                          <w:bCs/>
                        </w:rPr>
                        <w:t>]</w:t>
                      </w:r>
                    </w:p>
                    <w:p w14:paraId="64DE1B61" w14:textId="77777777" w:rsidR="005527EC" w:rsidRDefault="005527EC" w:rsidP="0067035F">
                      <w:pPr>
                        <w:numPr>
                          <w:ilvl w:val="1"/>
                          <w:numId w:val="23"/>
                        </w:numPr>
                        <w:overflowPunct w:val="0"/>
                        <w:autoSpaceDE w:val="0"/>
                        <w:autoSpaceDN w:val="0"/>
                        <w:adjustRightInd w:val="0"/>
                        <w:spacing w:after="0"/>
                        <w:rPr>
                          <w:bCs/>
                        </w:rPr>
                      </w:pPr>
                      <w:r>
                        <w:rPr>
                          <w:bCs/>
                        </w:rPr>
                        <w:t>Enhancements to idle mode mobility</w:t>
                      </w:r>
                    </w:p>
                    <w:p w14:paraId="37CD5393" w14:textId="77777777" w:rsidR="005527EC" w:rsidRDefault="005527EC" w:rsidP="0067035F">
                      <w:pPr>
                        <w:numPr>
                          <w:ilvl w:val="1"/>
                          <w:numId w:val="23"/>
                        </w:numPr>
                        <w:overflowPunct w:val="0"/>
                        <w:autoSpaceDE w:val="0"/>
                        <w:autoSpaceDN w:val="0"/>
                        <w:adjustRightInd w:val="0"/>
                        <w:spacing w:after="0"/>
                        <w:rPr>
                          <w:bCs/>
                        </w:rPr>
                      </w:pPr>
                      <w:r>
                        <w:rPr>
                          <w:bCs/>
                        </w:rPr>
                        <w:t>UE demodulation performance requirements for 2 RX antennas and full duplex FDD</w:t>
                      </w:r>
                    </w:p>
                    <w:p w14:paraId="5B0BF821" w14:textId="77777777" w:rsidR="005527EC" w:rsidRDefault="005527EC" w:rsidP="0067035F">
                      <w:pPr>
                        <w:numPr>
                          <w:ilvl w:val="1"/>
                          <w:numId w:val="23"/>
                        </w:numPr>
                        <w:overflowPunct w:val="0"/>
                        <w:autoSpaceDE w:val="0"/>
                        <w:autoSpaceDN w:val="0"/>
                        <w:adjustRightInd w:val="0"/>
                        <w:spacing w:after="0"/>
                        <w:rPr>
                          <w:bCs/>
                        </w:rPr>
                      </w:pPr>
                      <w:r>
                        <w:rPr>
                          <w:bCs/>
                        </w:rPr>
                        <w:t>Dual layer DL reception</w:t>
                      </w:r>
                    </w:p>
                    <w:p w14:paraId="753AFFFF" w14:textId="77777777" w:rsidR="005527EC" w:rsidRDefault="005527EC" w:rsidP="0067035F">
                      <w:pPr>
                        <w:numPr>
                          <w:ilvl w:val="1"/>
                          <w:numId w:val="23"/>
                        </w:numPr>
                        <w:overflowPunct w:val="0"/>
                        <w:autoSpaceDE w:val="0"/>
                        <w:autoSpaceDN w:val="0"/>
                        <w:adjustRightInd w:val="0"/>
                        <w:spacing w:after="0"/>
                        <w:rPr>
                          <w:bCs/>
                        </w:rPr>
                      </w:pPr>
                      <w:r>
                        <w:rPr>
                          <w:bCs/>
                        </w:rPr>
                        <w:t>Feedback based on CSI-RS</w:t>
                      </w:r>
                    </w:p>
                    <w:p w14:paraId="737BDD0F" w14:textId="77777777" w:rsidR="005527EC" w:rsidRDefault="005527EC" w:rsidP="0067035F">
                      <w:pPr>
                        <w:numPr>
                          <w:ilvl w:val="1"/>
                          <w:numId w:val="23"/>
                        </w:numPr>
                        <w:overflowPunct w:val="0"/>
                        <w:autoSpaceDE w:val="0"/>
                        <w:autoSpaceDN w:val="0"/>
                        <w:adjustRightInd w:val="0"/>
                        <w:spacing w:after="0"/>
                        <w:rPr>
                          <w:bCs/>
                        </w:rPr>
                      </w:pPr>
                      <w:r>
                        <w:rPr>
                          <w:bCs/>
                        </w:rPr>
                        <w:t>ETWS/CMAS in connected mode</w:t>
                      </w:r>
                    </w:p>
                    <w:p w14:paraId="1E7FF65D" w14:textId="41C4067A" w:rsidR="005527EC" w:rsidRDefault="005527EC" w:rsidP="00E7044A">
                      <w:pPr>
                        <w:rPr>
                          <w:sz w:val="18"/>
                          <w:szCs w:val="18"/>
                          <w:lang w:val="en-US"/>
                        </w:rPr>
                      </w:pPr>
                    </w:p>
                    <w:p w14:paraId="3C3B5A98" w14:textId="77777777" w:rsidR="005527EC" w:rsidRDefault="005527EC" w:rsidP="0067035F">
                      <w:pPr>
                        <w:spacing w:after="0"/>
                        <w:rPr>
                          <w:b/>
                          <w:bCs/>
                        </w:rPr>
                      </w:pPr>
                      <w:r>
                        <w:rPr>
                          <w:b/>
                          <w:bCs/>
                        </w:rPr>
                        <w:t>Stand-alone deployment:</w:t>
                      </w:r>
                    </w:p>
                    <w:p w14:paraId="4C0F5E99" w14:textId="77777777" w:rsidR="005527EC" w:rsidRDefault="005527EC" w:rsidP="0067035F">
                      <w:pPr>
                        <w:numPr>
                          <w:ilvl w:val="0"/>
                          <w:numId w:val="23"/>
                        </w:numPr>
                        <w:overflowPunct w:val="0"/>
                        <w:autoSpaceDE w:val="0"/>
                        <w:autoSpaceDN w:val="0"/>
                        <w:adjustRightInd w:val="0"/>
                        <w:spacing w:after="0"/>
                        <w:rPr>
                          <w:bCs/>
                        </w:rPr>
                      </w:pPr>
                      <w:r>
                        <w:rPr>
                          <w:bCs/>
                        </w:rPr>
                        <w:t xml:space="preserve">Enable the use of LTE control channel region for DL transmission (MPDCCH/PDSCH) to BL/CE UEs [RAN1, RAN2, </w:t>
                      </w:r>
                      <w:r w:rsidRPr="0067035F">
                        <w:rPr>
                          <w:bCs/>
                          <w:highlight w:val="green"/>
                        </w:rPr>
                        <w:t>RAN4</w:t>
                      </w:r>
                      <w:r>
                        <w:rPr>
                          <w:bCs/>
                        </w:rPr>
                        <w:t>]</w:t>
                      </w:r>
                    </w:p>
                    <w:p w14:paraId="04ACE435" w14:textId="77777777" w:rsidR="005527EC" w:rsidRDefault="005527EC" w:rsidP="0067035F">
                      <w:pPr>
                        <w:numPr>
                          <w:ilvl w:val="1"/>
                          <w:numId w:val="23"/>
                        </w:numPr>
                        <w:overflowPunct w:val="0"/>
                        <w:autoSpaceDE w:val="0"/>
                        <w:autoSpaceDN w:val="0"/>
                        <w:adjustRightInd w:val="0"/>
                        <w:spacing w:after="0"/>
                        <w:rPr>
                          <w:bCs/>
                        </w:rPr>
                      </w:pPr>
                      <w:r>
                        <w:rPr>
                          <w:bCs/>
                        </w:rPr>
                        <w:t>This deployment mode should support legacy operation for legacy BL/CE UEs.</w:t>
                      </w:r>
                    </w:p>
                    <w:p w14:paraId="18394047" w14:textId="1B5DFD44" w:rsidR="005527EC" w:rsidRDefault="005527EC" w:rsidP="00E7044A">
                      <w:pPr>
                        <w:rPr>
                          <w:sz w:val="18"/>
                          <w:szCs w:val="18"/>
                          <w:lang w:val="en-US"/>
                        </w:rPr>
                      </w:pPr>
                    </w:p>
                    <w:p w14:paraId="4B2863D9" w14:textId="77777777" w:rsidR="005527EC" w:rsidRDefault="005527EC" w:rsidP="0067035F">
                      <w:pPr>
                        <w:spacing w:after="0"/>
                        <w:rPr>
                          <w:b/>
                          <w:bCs/>
                        </w:rPr>
                      </w:pPr>
                      <w:r>
                        <w:rPr>
                          <w:b/>
                          <w:bCs/>
                        </w:rPr>
                        <w:t>Mobility Enhancement:</w:t>
                      </w:r>
                    </w:p>
                    <w:p w14:paraId="678B5F69" w14:textId="77777777" w:rsidR="005527EC" w:rsidRDefault="005527EC" w:rsidP="0067035F">
                      <w:pPr>
                        <w:numPr>
                          <w:ilvl w:val="0"/>
                          <w:numId w:val="24"/>
                        </w:numPr>
                        <w:overflowPunct w:val="0"/>
                        <w:autoSpaceDE w:val="0"/>
                        <w:autoSpaceDN w:val="0"/>
                        <w:adjustRightInd w:val="0"/>
                        <w:spacing w:after="0"/>
                        <w:rPr>
                          <w:bCs/>
                        </w:rPr>
                      </w:pPr>
                      <w:r>
                        <w:rPr>
                          <w:bCs/>
                        </w:rPr>
                        <w:t xml:space="preserve">Consider improving the DL RSRP and, if needed, RSRQ measurement accuracy, through use of RSS [RAN1, </w:t>
                      </w:r>
                      <w:r w:rsidRPr="0067035F">
                        <w:rPr>
                          <w:bCs/>
                          <w:highlight w:val="green"/>
                        </w:rPr>
                        <w:t>RAN4</w:t>
                      </w:r>
                      <w:r>
                        <w:rPr>
                          <w:bCs/>
                        </w:rPr>
                        <w:t>, RAN2]</w:t>
                      </w:r>
                    </w:p>
                    <w:p w14:paraId="68D82857" w14:textId="77777777" w:rsidR="005527EC" w:rsidRDefault="005527EC" w:rsidP="0067035F">
                      <w:pPr>
                        <w:numPr>
                          <w:ilvl w:val="0"/>
                          <w:numId w:val="24"/>
                        </w:numPr>
                        <w:overflowPunct w:val="0"/>
                        <w:autoSpaceDE w:val="0"/>
                        <w:autoSpaceDN w:val="0"/>
                        <w:adjustRightInd w:val="0"/>
                        <w:spacing w:after="0"/>
                        <w:rPr>
                          <w:bCs/>
                        </w:rPr>
                      </w:pPr>
                      <w:r>
                        <w:rPr>
                          <w:bCs/>
                        </w:rPr>
                        <w:t>Specify relaxation of RRM measurements for serving cell for UEs using WUS for at least low mobility UEs [</w:t>
                      </w:r>
                      <w:r w:rsidRPr="0067035F">
                        <w:rPr>
                          <w:bCs/>
                          <w:highlight w:val="green"/>
                        </w:rPr>
                        <w:t>RAN4</w:t>
                      </w:r>
                      <w:r>
                        <w:rPr>
                          <w:bCs/>
                        </w:rPr>
                        <w:t>, RAN2]</w:t>
                      </w:r>
                    </w:p>
                    <w:p w14:paraId="479092B5" w14:textId="77777777" w:rsidR="005527EC" w:rsidRDefault="005527EC" w:rsidP="0067035F">
                      <w:pPr>
                        <w:spacing w:after="0"/>
                        <w:rPr>
                          <w:b/>
                          <w:bCs/>
                        </w:rPr>
                      </w:pPr>
                    </w:p>
                    <w:p w14:paraId="10590253" w14:textId="77777777" w:rsidR="005527EC" w:rsidRDefault="005527EC" w:rsidP="0067035F">
                      <w:pPr>
                        <w:spacing w:after="0"/>
                        <w:rPr>
                          <w:b/>
                          <w:bCs/>
                        </w:rPr>
                      </w:pPr>
                      <w:r>
                        <w:rPr>
                          <w:b/>
                          <w:bCs/>
                        </w:rPr>
                        <w:t>Coexistence with NR:</w:t>
                      </w:r>
                    </w:p>
                    <w:p w14:paraId="41BAD217" w14:textId="77777777" w:rsidR="005527EC" w:rsidRDefault="005527EC" w:rsidP="0067035F">
                      <w:pPr>
                        <w:numPr>
                          <w:ilvl w:val="0"/>
                          <w:numId w:val="25"/>
                        </w:numPr>
                        <w:overflowPunct w:val="0"/>
                        <w:autoSpaceDE w:val="0"/>
                        <w:autoSpaceDN w:val="0"/>
                        <w:adjustRightInd w:val="0"/>
                        <w:rPr>
                          <w:bCs/>
                        </w:rPr>
                      </w:pPr>
                      <w:r>
                        <w:rPr>
                          <w:bCs/>
                        </w:rPr>
                        <w:t>Study NR and LTE specifications to identify possible issues related to coexistence of LTE-MTC with NR [</w:t>
                      </w:r>
                      <w:r w:rsidRPr="0067035F">
                        <w:rPr>
                          <w:bCs/>
                          <w:highlight w:val="green"/>
                        </w:rPr>
                        <w:t>RAN4</w:t>
                      </w:r>
                      <w:r>
                        <w:rPr>
                          <w:bCs/>
                        </w:rPr>
                        <w:t>, RAN1, RAN2]</w:t>
                      </w:r>
                    </w:p>
                    <w:p w14:paraId="7FC9CB14" w14:textId="77777777" w:rsidR="005527EC" w:rsidRPr="00E7044A" w:rsidRDefault="005527EC" w:rsidP="00E7044A">
                      <w:pPr>
                        <w:rPr>
                          <w:sz w:val="18"/>
                          <w:szCs w:val="18"/>
                          <w:lang w:val="en-US"/>
                        </w:rPr>
                      </w:pPr>
                    </w:p>
                  </w:txbxContent>
                </v:textbox>
                <w10:anchorlock/>
              </v:shape>
            </w:pict>
          </mc:Fallback>
        </mc:AlternateContent>
      </w:r>
    </w:p>
    <w:p w14:paraId="733D927E" w14:textId="1E197366" w:rsidR="00AD6228" w:rsidRDefault="00FD0378" w:rsidP="00E7044A">
      <w:pPr>
        <w:rPr>
          <w:lang w:val="en-US"/>
        </w:rPr>
      </w:pPr>
      <w:r>
        <w:rPr>
          <w:lang w:val="en-US"/>
        </w:rPr>
        <w:lastRenderedPageBreak/>
        <w:t xml:space="preserve">It is noted that quality report for MSG3 at least in EDT does not specify RAN4 engagement but we believe it should. </w:t>
      </w:r>
      <w:r w:rsidR="0067035F">
        <w:rPr>
          <w:lang w:val="en-US"/>
        </w:rPr>
        <w:t>MTC</w:t>
      </w:r>
      <w:r w:rsidR="004F0795">
        <w:rPr>
          <w:lang w:val="en-US"/>
        </w:rPr>
        <w:t xml:space="preserve"> coexistence with NR is mostly an RF-based discussion and hence not addressed here.</w:t>
      </w:r>
    </w:p>
    <w:p w14:paraId="087AA563" w14:textId="10F4D1D3" w:rsidR="00AD6228" w:rsidRDefault="00AD6228" w:rsidP="00E7044A">
      <w:pPr>
        <w:rPr>
          <w:lang w:val="en-US"/>
        </w:rPr>
      </w:pPr>
      <w:r>
        <w:rPr>
          <w:lang w:val="en-US"/>
        </w:rPr>
        <w:t xml:space="preserve">In this paper, we present a high-level discussion </w:t>
      </w:r>
      <w:r w:rsidR="009A41F2">
        <w:rPr>
          <w:lang w:val="en-US"/>
        </w:rPr>
        <w:t>on these topics.</w:t>
      </w:r>
    </w:p>
    <w:p w14:paraId="1B22541C" w14:textId="13CB4F38" w:rsidR="005103B6" w:rsidRDefault="00E21E08" w:rsidP="005103B6">
      <w:pPr>
        <w:pStyle w:val="Heading1"/>
        <w:rPr>
          <w:lang w:val="en-US"/>
        </w:rPr>
      </w:pPr>
      <w:r>
        <w:rPr>
          <w:lang w:val="en-US"/>
        </w:rPr>
        <w:t>Improved DL transmission efficiency and/or UE power consumption</w:t>
      </w:r>
    </w:p>
    <w:p w14:paraId="79AAD934" w14:textId="60EA1350" w:rsidR="00E21E08" w:rsidRDefault="00DC27AC" w:rsidP="00E21E08">
      <w:pPr>
        <w:rPr>
          <w:b/>
          <w:i/>
          <w:sz w:val="24"/>
          <w:lang w:val="en-US"/>
        </w:rPr>
      </w:pPr>
      <w:r>
        <w:rPr>
          <w:b/>
          <w:i/>
          <w:sz w:val="24"/>
          <w:lang w:val="en-US"/>
        </w:rPr>
        <w:t xml:space="preserve">Support for </w:t>
      </w:r>
      <w:r w:rsidR="00E21E08">
        <w:rPr>
          <w:b/>
          <w:i/>
          <w:sz w:val="24"/>
          <w:lang w:val="en-US"/>
        </w:rPr>
        <w:t>MSG3 quality report:</w:t>
      </w:r>
    </w:p>
    <w:p w14:paraId="4E14BBA1" w14:textId="189A7E0C" w:rsidR="00FF1BDA" w:rsidRDefault="00E25EEE" w:rsidP="00E21E08">
      <w:pPr>
        <w:rPr>
          <w:lang w:val="en-US"/>
        </w:rPr>
      </w:pPr>
      <w:proofErr w:type="gramStart"/>
      <w:r>
        <w:rPr>
          <w:lang w:val="en-US"/>
        </w:rPr>
        <w:t>Similar to</w:t>
      </w:r>
      <w:proofErr w:type="gramEnd"/>
      <w:r>
        <w:rPr>
          <w:lang w:val="en-US"/>
        </w:rPr>
        <w:t xml:space="preserve"> NB-IoT</w:t>
      </w:r>
      <w:r w:rsidR="00BF3683">
        <w:rPr>
          <w:lang w:val="en-US"/>
        </w:rPr>
        <w:t>, MSG3 quality report</w:t>
      </w:r>
      <w:r w:rsidR="00E33AE8">
        <w:rPr>
          <w:lang w:val="en-US"/>
        </w:rPr>
        <w:t xml:space="preserve"> is motivated </w:t>
      </w:r>
      <w:r w:rsidR="00FF1BDA">
        <w:rPr>
          <w:lang w:val="en-US"/>
        </w:rPr>
        <w:t>by establishing proper parameters</w:t>
      </w:r>
      <w:r w:rsidR="00B2738E">
        <w:rPr>
          <w:lang w:val="en-US"/>
        </w:rPr>
        <w:t xml:space="preserve"> and resources</w:t>
      </w:r>
      <w:r w:rsidR="00FF1BDA">
        <w:rPr>
          <w:lang w:val="en-US"/>
        </w:rPr>
        <w:t xml:space="preserve"> early on in the communication. By appropriately selecting the MPDCCH repetition level based on UE’s reported quality, transmission efficiency and/or power savings can be achieved. The agreements so far are</w:t>
      </w:r>
      <w:r w:rsidR="00DF4917">
        <w:rPr>
          <w:lang w:val="en-US"/>
        </w:rPr>
        <w:t xml:space="preserve"> [2-3]</w:t>
      </w:r>
      <w:r w:rsidR="00FF1BDA">
        <w:rPr>
          <w:lang w:val="en-US"/>
        </w:rPr>
        <w:t>:</w:t>
      </w:r>
    </w:p>
    <w:p w14:paraId="2C45CBA5" w14:textId="5C2C6586" w:rsidR="00E21E08" w:rsidRPr="00FF1BDA" w:rsidRDefault="00FF1BDA" w:rsidP="00FF1BDA">
      <w:pPr>
        <w:pStyle w:val="ListParagraph"/>
        <w:numPr>
          <w:ilvl w:val="0"/>
          <w:numId w:val="27"/>
        </w:numPr>
        <w:rPr>
          <w:sz w:val="20"/>
        </w:rPr>
      </w:pPr>
      <w:r w:rsidRPr="00FF1BDA">
        <w:rPr>
          <w:sz w:val="20"/>
          <w:szCs w:val="20"/>
        </w:rPr>
        <w:t>DL quality report is transmitted via higher layer signaling, e.g. MAC CE or RRC message</w:t>
      </w:r>
    </w:p>
    <w:p w14:paraId="2E3FAD88" w14:textId="2F8E232F" w:rsidR="00FF1BDA" w:rsidRPr="00FF1BDA" w:rsidRDefault="00FF1BDA" w:rsidP="00FF1BDA">
      <w:pPr>
        <w:pStyle w:val="ListParagraph"/>
        <w:numPr>
          <w:ilvl w:val="0"/>
          <w:numId w:val="27"/>
        </w:numPr>
        <w:rPr>
          <w:sz w:val="20"/>
        </w:rPr>
      </w:pPr>
      <w:r w:rsidRPr="00FF1BDA">
        <w:rPr>
          <w:sz w:val="20"/>
          <w:szCs w:val="20"/>
          <w:lang w:eastAsia="zh-CN"/>
        </w:rPr>
        <w:t>Enabling of DL quality report is indicated in SIB</w:t>
      </w:r>
    </w:p>
    <w:p w14:paraId="7AE8910C" w14:textId="18E289AC" w:rsidR="00FF1BDA" w:rsidRPr="00FF1BDA" w:rsidRDefault="00FF1BDA" w:rsidP="00FF1BDA">
      <w:pPr>
        <w:pStyle w:val="ListParagraph"/>
        <w:numPr>
          <w:ilvl w:val="0"/>
          <w:numId w:val="27"/>
        </w:numPr>
        <w:rPr>
          <w:sz w:val="20"/>
        </w:rPr>
      </w:pPr>
      <w:r w:rsidRPr="00FF1BDA">
        <w:rPr>
          <w:sz w:val="20"/>
          <w:szCs w:val="20"/>
          <w:lang w:eastAsia="zh-CN"/>
        </w:rPr>
        <w:t xml:space="preserve">CRS may be used as the reference signal for measurement of </w:t>
      </w:r>
      <w:r w:rsidRPr="00FF1BDA">
        <w:rPr>
          <w:rFonts w:eastAsia="Malgun Gothic" w:cs="Arial"/>
          <w:sz w:val="20"/>
          <w:szCs w:val="20"/>
          <w:lang w:eastAsia="zh-CN"/>
        </w:rPr>
        <w:t xml:space="preserve">DL quality metric for </w:t>
      </w:r>
      <w:r w:rsidRPr="00FF1BDA">
        <w:rPr>
          <w:sz w:val="20"/>
          <w:szCs w:val="20"/>
          <w:lang w:eastAsia="zh-CN"/>
        </w:rPr>
        <w:t>measurement report in M</w:t>
      </w:r>
      <w:r>
        <w:rPr>
          <w:sz w:val="20"/>
          <w:szCs w:val="20"/>
          <w:lang w:eastAsia="zh-CN"/>
        </w:rPr>
        <w:t>SG</w:t>
      </w:r>
      <w:r w:rsidRPr="00FF1BDA">
        <w:rPr>
          <w:sz w:val="20"/>
          <w:szCs w:val="20"/>
          <w:lang w:eastAsia="zh-CN"/>
        </w:rPr>
        <w:t>3</w:t>
      </w:r>
    </w:p>
    <w:p w14:paraId="0C293BF5" w14:textId="77777777" w:rsidR="00FF1BDA" w:rsidRPr="00FF1BDA" w:rsidRDefault="00FF1BDA" w:rsidP="00FF1BDA">
      <w:pPr>
        <w:pStyle w:val="ListParagraph"/>
        <w:numPr>
          <w:ilvl w:val="0"/>
          <w:numId w:val="27"/>
        </w:numPr>
        <w:rPr>
          <w:sz w:val="20"/>
          <w:lang w:val="en-GB" w:eastAsia="x-none"/>
        </w:rPr>
      </w:pPr>
      <w:r w:rsidRPr="00FF1BDA">
        <w:rPr>
          <w:sz w:val="20"/>
          <w:lang w:eastAsia="x-none"/>
        </w:rPr>
        <w:t>For CE mode A (PRACH CE level 0, 1), the downlink channel quality is the repetition number and/or aggregation level that the UE needs to decode hypothetical MPDCCH with BLER of 1%</w:t>
      </w:r>
    </w:p>
    <w:p w14:paraId="0355744E" w14:textId="4EA51538" w:rsidR="00FF1BDA" w:rsidRPr="00FF1BDA" w:rsidRDefault="00FF1BDA" w:rsidP="00FF1BDA">
      <w:pPr>
        <w:pStyle w:val="ListParagraph"/>
        <w:numPr>
          <w:ilvl w:val="0"/>
          <w:numId w:val="27"/>
        </w:numPr>
        <w:rPr>
          <w:sz w:val="20"/>
          <w:szCs w:val="20"/>
          <w:lang w:val="en-GB"/>
        </w:rPr>
      </w:pPr>
      <w:r w:rsidRPr="00FF1BDA">
        <w:rPr>
          <w:sz w:val="20"/>
          <w:szCs w:val="20"/>
          <w:lang w:eastAsia="zh-CN"/>
        </w:rPr>
        <w:t>For CE Mode B, the downlink channel quality reported in M</w:t>
      </w:r>
      <w:r>
        <w:rPr>
          <w:sz w:val="20"/>
          <w:szCs w:val="20"/>
          <w:lang w:eastAsia="zh-CN"/>
        </w:rPr>
        <w:t>SG</w:t>
      </w:r>
      <w:r w:rsidRPr="00FF1BDA">
        <w:rPr>
          <w:sz w:val="20"/>
          <w:szCs w:val="20"/>
          <w:lang w:eastAsia="zh-CN"/>
        </w:rPr>
        <w:t xml:space="preserve">3 is denoted as the repetition number that the UE recommends </w:t>
      </w:r>
      <w:proofErr w:type="gramStart"/>
      <w:r w:rsidRPr="00FF1BDA">
        <w:rPr>
          <w:sz w:val="20"/>
          <w:szCs w:val="20"/>
          <w:lang w:eastAsia="zh-CN"/>
        </w:rPr>
        <w:t>to</w:t>
      </w:r>
      <w:r w:rsidR="00281B72">
        <w:rPr>
          <w:sz w:val="20"/>
          <w:szCs w:val="20"/>
          <w:lang w:eastAsia="zh-CN"/>
        </w:rPr>
        <w:t xml:space="preserve"> </w:t>
      </w:r>
      <w:r w:rsidRPr="00FF1BDA">
        <w:rPr>
          <w:sz w:val="20"/>
          <w:szCs w:val="20"/>
          <w:lang w:eastAsia="zh-CN"/>
        </w:rPr>
        <w:t>achieve</w:t>
      </w:r>
      <w:proofErr w:type="gramEnd"/>
      <w:r w:rsidRPr="00FF1BDA">
        <w:rPr>
          <w:sz w:val="20"/>
          <w:szCs w:val="20"/>
          <w:lang w:eastAsia="zh-CN"/>
        </w:rPr>
        <w:t xml:space="preserve"> a hypothetical MPDCCH decoding BLER of 1%</w:t>
      </w:r>
    </w:p>
    <w:p w14:paraId="02DD9B30" w14:textId="623B4C41" w:rsidR="00FF1BDA" w:rsidRDefault="00FF1BDA" w:rsidP="00FF1BDA"/>
    <w:p w14:paraId="17E9501D" w14:textId="63ECD0DA" w:rsidR="002C12C2" w:rsidRDefault="002C12C2" w:rsidP="00FF1BDA">
      <w:r>
        <w:t>Which narrowband(s) to report the quality on is still being debated in RAN1/RAN2 with candidates including but not limited to central NB, NB in which UE monitors RAR, or NB in which UE is supposed to receive MSG4 (as indicated in DCI of RAR</w:t>
      </w:r>
      <w:r w:rsidR="007D5EA1">
        <w:t>)</w:t>
      </w:r>
      <w:r>
        <w:t xml:space="preserve">. Also due to frequency hopping nature of MPDCCH, UE can measure more than one </w:t>
      </w:r>
      <w:proofErr w:type="gramStart"/>
      <w:r>
        <w:t>NB</w:t>
      </w:r>
      <w:proofErr w:type="gramEnd"/>
      <w:r>
        <w:t xml:space="preserve"> and, in such case, it can either report the best NB or average the measurements across NBs</w:t>
      </w:r>
      <w:r w:rsidR="004B726B">
        <w:t xml:space="preserve"> or send the most recent measurement</w:t>
      </w:r>
      <w:r>
        <w:t xml:space="preserve">. The </w:t>
      </w:r>
      <w:r w:rsidR="00E76365">
        <w:t xml:space="preserve">number of bits for reporting quality in MSG3 is also not finalized yet but is likely to be </w:t>
      </w:r>
      <w:proofErr w:type="gramStart"/>
      <w:r w:rsidR="00E76365">
        <w:t>similar to</w:t>
      </w:r>
      <w:proofErr w:type="gramEnd"/>
      <w:r w:rsidR="00E76365">
        <w:t xml:space="preserve"> NB-IoT with {2,4} bits. </w:t>
      </w:r>
    </w:p>
    <w:p w14:paraId="490A8267" w14:textId="6426FE3A" w:rsidR="00E76365" w:rsidRPr="00E76365" w:rsidRDefault="00E76365" w:rsidP="00FF1BDA">
      <w:pPr>
        <w:rPr>
          <w:b/>
        </w:rPr>
      </w:pPr>
      <w:r w:rsidRPr="00E76365">
        <w:rPr>
          <w:b/>
        </w:rPr>
        <w:t xml:space="preserve">Observation 1. DL channel quality report for CE mode A is the repetition number and/or aggregation level that UE needs to decode hypothetical MPDCCH with BLER 1%. For CE mode B, it is the repetition number that UE recommends </w:t>
      </w:r>
      <w:proofErr w:type="gramStart"/>
      <w:r w:rsidRPr="00E76365">
        <w:rPr>
          <w:b/>
        </w:rPr>
        <w:t>to achieve</w:t>
      </w:r>
      <w:proofErr w:type="gramEnd"/>
      <w:r w:rsidRPr="00E76365">
        <w:rPr>
          <w:b/>
        </w:rPr>
        <w:t xml:space="preserve"> a hypothetical MPDCCH decoding with BLER 1%. NBs to measure and </w:t>
      </w:r>
      <w:proofErr w:type="spellStart"/>
      <w:r w:rsidRPr="00E76365">
        <w:rPr>
          <w:b/>
        </w:rPr>
        <w:t>bitwidth</w:t>
      </w:r>
      <w:proofErr w:type="spellEnd"/>
      <w:r w:rsidRPr="00E76365">
        <w:rPr>
          <w:b/>
        </w:rPr>
        <w:t xml:space="preserve"> of the reporting field are still being discussed. </w:t>
      </w:r>
    </w:p>
    <w:p w14:paraId="46F3E0CB" w14:textId="1DAB1FCD" w:rsidR="00E76365" w:rsidRDefault="00E76365" w:rsidP="00FF1BDA">
      <w:r>
        <w:t xml:space="preserve">From the perspective of RAN4, similar requirements in 36.133 as those defined for NB-IoT in Sections 6.6.2.6, 9.1.22.15, and 9.1.22.16 need to be defined. </w:t>
      </w:r>
      <w:r w:rsidR="00136211">
        <w:t>More specifically, the followings require discussion in RAN4:</w:t>
      </w:r>
    </w:p>
    <w:p w14:paraId="48EFBA30" w14:textId="4BC219E5" w:rsidR="00136211" w:rsidRPr="00425E78" w:rsidRDefault="00136211" w:rsidP="00136211">
      <w:pPr>
        <w:pStyle w:val="ListParagraph"/>
        <w:numPr>
          <w:ilvl w:val="0"/>
          <w:numId w:val="28"/>
        </w:numPr>
        <w:rPr>
          <w:sz w:val="20"/>
        </w:rPr>
      </w:pPr>
      <w:r w:rsidRPr="00425E78">
        <w:rPr>
          <w:sz w:val="20"/>
        </w:rPr>
        <w:t>Hypothetical MPDCCH parameters for DL channel quality report in CE mode A and B</w:t>
      </w:r>
    </w:p>
    <w:p w14:paraId="70684439" w14:textId="7E9903FE" w:rsidR="00136211" w:rsidRPr="00425E78" w:rsidRDefault="00136211" w:rsidP="00136211">
      <w:pPr>
        <w:pStyle w:val="ListParagraph"/>
        <w:numPr>
          <w:ilvl w:val="0"/>
          <w:numId w:val="28"/>
        </w:numPr>
        <w:rPr>
          <w:sz w:val="20"/>
        </w:rPr>
      </w:pPr>
      <w:r w:rsidRPr="00425E78">
        <w:rPr>
          <w:sz w:val="20"/>
        </w:rPr>
        <w:t>NB(s) to measure for reporting</w:t>
      </w:r>
    </w:p>
    <w:p w14:paraId="4F3B1352" w14:textId="31DAD981" w:rsidR="00136211" w:rsidRPr="00425E78" w:rsidRDefault="00136211" w:rsidP="00136211">
      <w:pPr>
        <w:pStyle w:val="ListParagraph"/>
        <w:numPr>
          <w:ilvl w:val="0"/>
          <w:numId w:val="28"/>
        </w:numPr>
        <w:rPr>
          <w:sz w:val="20"/>
        </w:rPr>
      </w:pPr>
      <w:r w:rsidRPr="00425E78">
        <w:rPr>
          <w:sz w:val="20"/>
        </w:rPr>
        <w:t xml:space="preserve">N-bit reporting format (with N=2 or 4) </w:t>
      </w:r>
    </w:p>
    <w:p w14:paraId="33D6E9DA" w14:textId="1D6C1B8B" w:rsidR="00136211" w:rsidRPr="00425E78" w:rsidRDefault="00136211" w:rsidP="00136211">
      <w:pPr>
        <w:pStyle w:val="ListParagraph"/>
        <w:numPr>
          <w:ilvl w:val="0"/>
          <w:numId w:val="28"/>
        </w:numPr>
        <w:rPr>
          <w:sz w:val="20"/>
        </w:rPr>
      </w:pPr>
      <w:r w:rsidRPr="00425E78">
        <w:rPr>
          <w:sz w:val="20"/>
        </w:rPr>
        <w:t>Time period</w:t>
      </w:r>
      <w:r w:rsidR="00425E78" w:rsidRPr="00425E78">
        <w:rPr>
          <w:sz w:val="20"/>
        </w:rPr>
        <w:t>(</w:t>
      </w:r>
      <w:r w:rsidRPr="00425E78">
        <w:rPr>
          <w:sz w:val="20"/>
        </w:rPr>
        <w:t>s</w:t>
      </w:r>
      <w:r w:rsidR="00425E78" w:rsidRPr="00425E78">
        <w:rPr>
          <w:sz w:val="20"/>
        </w:rPr>
        <w:t>)</w:t>
      </w:r>
      <w:r w:rsidRPr="00425E78">
        <w:rPr>
          <w:sz w:val="20"/>
        </w:rPr>
        <w:t xml:space="preserve"> over which measurements over NB(s) can be performed</w:t>
      </w:r>
    </w:p>
    <w:p w14:paraId="5B715621" w14:textId="668AEDD2" w:rsidR="00136211" w:rsidRPr="00425E78" w:rsidRDefault="00136211" w:rsidP="00136211">
      <w:pPr>
        <w:pStyle w:val="ListParagraph"/>
        <w:numPr>
          <w:ilvl w:val="0"/>
          <w:numId w:val="28"/>
        </w:numPr>
        <w:rPr>
          <w:sz w:val="20"/>
        </w:rPr>
      </w:pPr>
      <w:r w:rsidRPr="00425E78">
        <w:rPr>
          <w:sz w:val="20"/>
        </w:rPr>
        <w:t>Methods of reporting in case multiple NBs are measured (</w:t>
      </w:r>
      <w:proofErr w:type="spellStart"/>
      <w:r w:rsidRPr="00425E78">
        <w:rPr>
          <w:sz w:val="20"/>
        </w:rPr>
        <w:t>e.g</w:t>
      </w:r>
      <w:proofErr w:type="spellEnd"/>
      <w:r w:rsidRPr="00425E78">
        <w:rPr>
          <w:sz w:val="20"/>
        </w:rPr>
        <w:t>, most recent, best, averaged)</w:t>
      </w:r>
    </w:p>
    <w:p w14:paraId="7AD275B1" w14:textId="5830B5B5" w:rsidR="00425E78" w:rsidRDefault="00425E78" w:rsidP="00425E78"/>
    <w:p w14:paraId="5FB7CEBF" w14:textId="6105D033" w:rsidR="00425E78" w:rsidRPr="00425E78" w:rsidRDefault="00425E78" w:rsidP="00425E78">
      <w:pPr>
        <w:rPr>
          <w:b/>
        </w:rPr>
      </w:pPr>
      <w:r w:rsidRPr="00425E78">
        <w:rPr>
          <w:b/>
        </w:rPr>
        <w:t xml:space="preserve">Proposal 1. RAN4 should discuss hypothetical MPDCCH parameters for DL channel quality report in CE mode A and B, NB(s) to measure for reporting, reporting format tables, time period(s) over which measurements over NB(s) can be performed, and methods of reporting in case multiple NBs are measured. </w:t>
      </w:r>
    </w:p>
    <w:p w14:paraId="37112FB6" w14:textId="44210D29" w:rsidR="00425E78" w:rsidRDefault="004650E9" w:rsidP="00425E78">
      <w:pPr>
        <w:rPr>
          <w:b/>
          <w:i/>
          <w:sz w:val="24"/>
        </w:rPr>
      </w:pPr>
      <w:r>
        <w:rPr>
          <w:b/>
          <w:i/>
          <w:sz w:val="24"/>
        </w:rPr>
        <w:t>Aperiodic quality report in connected mode using same quality definition as in MSG3:</w:t>
      </w:r>
    </w:p>
    <w:p w14:paraId="4302B27D" w14:textId="65DBD467" w:rsidR="004650E9" w:rsidRPr="004650E9" w:rsidRDefault="004650E9" w:rsidP="00425E78">
      <w:r>
        <w:t xml:space="preserve">This item was added to WI in RAN plenary meeting #82 and discussions in RAN1/RAN2 have not yet started. The main motivation is to reuse MSG3 quality report as much as possible for aperiodic quality report in connected mode to help network adjust resource and parameter allocation in the DL. RAN4 discussion, if any, can proceed after initial discussions in RAN1/RAN2. </w:t>
      </w:r>
    </w:p>
    <w:p w14:paraId="685C4C05" w14:textId="347BED0F" w:rsidR="00425E78" w:rsidRDefault="0047210F" w:rsidP="00425E78">
      <w:pPr>
        <w:rPr>
          <w:b/>
          <w:i/>
          <w:sz w:val="24"/>
        </w:rPr>
      </w:pPr>
      <w:r>
        <w:rPr>
          <w:b/>
          <w:i/>
          <w:sz w:val="24"/>
        </w:rPr>
        <w:t>MPDCCH performance improvement by using CRS:</w:t>
      </w:r>
    </w:p>
    <w:p w14:paraId="1142258E" w14:textId="74FA2B1A" w:rsidR="00B7661D" w:rsidRDefault="004C3928" w:rsidP="00425E78">
      <w:r>
        <w:lastRenderedPageBreak/>
        <w:t xml:space="preserve">MPDCCH performance at low SNR is limited by imperfect channel estimation. DMRS-based channel estimation processing is limited in frequency domain to PRB bundling size (PRG) as the precoder may change from PRG to PRG and is limited in time-domain to the length of the repetition size (subject to actual transmission of MPDCCH). Unlike DMRS-based channel estimation, CRS-based channel estimation enjoys full processing in time/frequency domains to its omnipresence. By signalling the relationship between MPDCCH precoder and CRS, UE can improve DMRS-based channel estimation through using CRS. </w:t>
      </w:r>
      <w:r w:rsidR="00683038">
        <w:t xml:space="preserve">The agreements so far are [4]: </w:t>
      </w:r>
      <w:r>
        <w:t xml:space="preserve"> </w:t>
      </w:r>
    </w:p>
    <w:p w14:paraId="12634C02" w14:textId="77777777" w:rsidR="00CE626F" w:rsidRPr="00CE626F" w:rsidRDefault="00CE626F" w:rsidP="00CE626F">
      <w:pPr>
        <w:pStyle w:val="ListParagraph"/>
        <w:numPr>
          <w:ilvl w:val="0"/>
          <w:numId w:val="29"/>
        </w:numPr>
        <w:rPr>
          <w:sz w:val="20"/>
          <w:lang w:val="en-GB"/>
        </w:rPr>
      </w:pPr>
      <w:r w:rsidRPr="00CE626F">
        <w:rPr>
          <w:sz w:val="20"/>
        </w:rPr>
        <w:t>For distributed MPDCCH, predefined mapping between CRS ports and MPDCCH DMRS ports is supported.</w:t>
      </w:r>
    </w:p>
    <w:p w14:paraId="30ED8297" w14:textId="77777777" w:rsidR="00CE626F" w:rsidRPr="00CE626F" w:rsidRDefault="00CE626F" w:rsidP="00CE626F">
      <w:pPr>
        <w:pStyle w:val="ListParagraph"/>
        <w:numPr>
          <w:ilvl w:val="0"/>
          <w:numId w:val="29"/>
        </w:numPr>
        <w:rPr>
          <w:sz w:val="20"/>
          <w:lang w:val="en-GB"/>
        </w:rPr>
      </w:pPr>
      <w:r w:rsidRPr="00CE626F">
        <w:rPr>
          <w:sz w:val="20"/>
        </w:rPr>
        <w:t>For localized/distributed MPDCCH, the predefined mapping between CRS ports and MPDCCH ports is based on precoder cycling across time and frequency domain. FFS the details.</w:t>
      </w:r>
    </w:p>
    <w:p w14:paraId="363D29AC" w14:textId="77777777" w:rsidR="00CE626F" w:rsidRPr="00CE626F" w:rsidRDefault="00CE626F" w:rsidP="00CE626F">
      <w:pPr>
        <w:pStyle w:val="ListParagraph"/>
        <w:numPr>
          <w:ilvl w:val="0"/>
          <w:numId w:val="29"/>
        </w:numPr>
        <w:rPr>
          <w:sz w:val="20"/>
          <w:lang w:val="en-GB"/>
        </w:rPr>
      </w:pPr>
      <w:r w:rsidRPr="00CE626F">
        <w:rPr>
          <w:sz w:val="20"/>
        </w:rPr>
        <w:t>Reuse existing LTE Rel-8 codebooks for precoding of MPDCCH is the starting point.</w:t>
      </w:r>
    </w:p>
    <w:p w14:paraId="004E4F12" w14:textId="7BB46EE6" w:rsidR="00CE626F" w:rsidRPr="00CE626F" w:rsidRDefault="00CE626F" w:rsidP="00CE626F">
      <w:pPr>
        <w:pStyle w:val="ListParagraph"/>
        <w:numPr>
          <w:ilvl w:val="1"/>
          <w:numId w:val="29"/>
        </w:numPr>
        <w:rPr>
          <w:sz w:val="20"/>
          <w:lang w:val="en-GB"/>
        </w:rPr>
      </w:pPr>
      <w:r w:rsidRPr="00CE626F">
        <w:rPr>
          <w:sz w:val="20"/>
          <w:lang w:eastAsia="x-none"/>
        </w:rPr>
        <w:t>Unless performance gains are iden</w:t>
      </w:r>
      <w:r>
        <w:rPr>
          <w:sz w:val="20"/>
          <w:lang w:eastAsia="x-none"/>
        </w:rPr>
        <w:t>ti</w:t>
      </w:r>
      <w:r w:rsidRPr="00CE626F">
        <w:rPr>
          <w:sz w:val="20"/>
          <w:lang w:eastAsia="x-none"/>
        </w:rPr>
        <w:t>fied further optimization on top of Rel-8 codebook will not be introduced</w:t>
      </w:r>
    </w:p>
    <w:p w14:paraId="37C98B7F" w14:textId="77777777" w:rsidR="00CE626F" w:rsidRPr="00CE626F" w:rsidRDefault="00CE626F" w:rsidP="00CE626F">
      <w:pPr>
        <w:pStyle w:val="ListParagraph"/>
        <w:numPr>
          <w:ilvl w:val="0"/>
          <w:numId w:val="29"/>
        </w:numPr>
        <w:rPr>
          <w:sz w:val="20"/>
        </w:rPr>
      </w:pPr>
      <w:r w:rsidRPr="00CE626F">
        <w:rPr>
          <w:sz w:val="20"/>
          <w:szCs w:val="20"/>
        </w:rPr>
        <w:t>For UE in Connected/Idle mode, the power offset between CRS and DMRS antenna ports of MPDCCH is indicated by SIB</w:t>
      </w:r>
    </w:p>
    <w:p w14:paraId="25D85A14" w14:textId="2FCF1E48" w:rsidR="00CE626F" w:rsidRPr="00CE626F" w:rsidRDefault="00CE626F" w:rsidP="00CE626F">
      <w:pPr>
        <w:pStyle w:val="ListParagraph"/>
        <w:numPr>
          <w:ilvl w:val="0"/>
          <w:numId w:val="29"/>
        </w:numPr>
        <w:rPr>
          <w:sz w:val="20"/>
        </w:rPr>
      </w:pPr>
      <w:r w:rsidRPr="00CE626F">
        <w:rPr>
          <w:sz w:val="20"/>
        </w:rPr>
        <w:t>For UE in Idle mode, the configuration of CRS for MPDCCH performance improvement is indicated via SIB/SI. FFS the details of configuration.</w:t>
      </w:r>
    </w:p>
    <w:p w14:paraId="5B65CBB6" w14:textId="3AEED0B4" w:rsidR="00CE626F" w:rsidRDefault="00CE626F" w:rsidP="00CE626F">
      <w:pPr>
        <w:pStyle w:val="ListParagraph"/>
        <w:numPr>
          <w:ilvl w:val="0"/>
          <w:numId w:val="29"/>
        </w:numPr>
        <w:rPr>
          <w:sz w:val="20"/>
        </w:rPr>
      </w:pPr>
      <w:r w:rsidRPr="00CE626F">
        <w:rPr>
          <w:sz w:val="20"/>
        </w:rPr>
        <w:t>For UE in Connected mode, the configuration of CRS for MPDCCH performance improvement is indicated via UE-specific RRC signaling. FFS the details of configuration</w:t>
      </w:r>
    </w:p>
    <w:p w14:paraId="76C96C38" w14:textId="36C06A48" w:rsidR="0069291F" w:rsidRDefault="0069291F" w:rsidP="0069291F"/>
    <w:p w14:paraId="0EBA1AD6" w14:textId="6195FAC0" w:rsidR="0069291F" w:rsidRDefault="00FD0AA2" w:rsidP="0069291F">
      <w:r>
        <w:t xml:space="preserve">It is not yet decided how the presence of subframes without CRS transmission (e.g., MBSFN subframes) should be handled or whether CRS can/may be used for early termination of WUS. </w:t>
      </w:r>
    </w:p>
    <w:p w14:paraId="51C191A8" w14:textId="11BABF56" w:rsidR="00FD0AA2" w:rsidRDefault="00127A28" w:rsidP="0069291F">
      <w:r>
        <w:t>U</w:t>
      </w:r>
      <w:r w:rsidR="00FD0AA2">
        <w:t xml:space="preserve">sing CRS </w:t>
      </w:r>
      <w:r w:rsidR="00E94FA4">
        <w:t xml:space="preserve">for MPDCCH decoding results in significant performance improvement. Table 1 summarizes preliminary simulation results for Test 1 of CE mode A and B in 36.101 Section 8.11.2. In these simulations, UE is assumed to know the PMI for PDCCH and power offset (0 dB) with respect to CRS. </w:t>
      </w:r>
    </w:p>
    <w:p w14:paraId="628CE19A" w14:textId="2677A87B" w:rsidR="00E94FA4" w:rsidRDefault="00E94FA4" w:rsidP="00E94FA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Performance improvement in MPDCCH decoding using CRS</w:t>
      </w:r>
    </w:p>
    <w:tbl>
      <w:tblPr>
        <w:tblStyle w:val="TableGrid"/>
        <w:tblW w:w="0" w:type="auto"/>
        <w:jc w:val="center"/>
        <w:tblLook w:val="04A0" w:firstRow="1" w:lastRow="0" w:firstColumn="1" w:lastColumn="0" w:noHBand="0" w:noVBand="1"/>
      </w:tblPr>
      <w:tblGrid>
        <w:gridCol w:w="1484"/>
        <w:gridCol w:w="1484"/>
        <w:gridCol w:w="1485"/>
      </w:tblGrid>
      <w:tr w:rsidR="00E94FA4" w:rsidRPr="00E94FA4" w14:paraId="29C6CB02" w14:textId="77777777" w:rsidTr="003C6FE8">
        <w:trPr>
          <w:trHeight w:val="414"/>
          <w:jc w:val="center"/>
        </w:trPr>
        <w:tc>
          <w:tcPr>
            <w:tcW w:w="1484" w:type="dxa"/>
            <w:vAlign w:val="center"/>
          </w:tcPr>
          <w:p w14:paraId="18C49A0E" w14:textId="602A4EDC" w:rsidR="00E94FA4" w:rsidRPr="00E94FA4" w:rsidRDefault="00E94FA4" w:rsidP="00101F54">
            <w:pPr>
              <w:jc w:val="center"/>
              <w:rPr>
                <w:b/>
              </w:rPr>
            </w:pPr>
            <w:r w:rsidRPr="00E94FA4">
              <w:rPr>
                <w:b/>
              </w:rPr>
              <w:t>Test</w:t>
            </w:r>
          </w:p>
        </w:tc>
        <w:tc>
          <w:tcPr>
            <w:tcW w:w="1484" w:type="dxa"/>
            <w:vAlign w:val="center"/>
          </w:tcPr>
          <w:p w14:paraId="4956CFA5" w14:textId="6E9515F4" w:rsidR="00E94FA4" w:rsidRPr="00E94FA4" w:rsidRDefault="00E94FA4" w:rsidP="00101F54">
            <w:pPr>
              <w:jc w:val="center"/>
              <w:rPr>
                <w:b/>
              </w:rPr>
            </w:pPr>
            <w:r w:rsidRPr="00E94FA4">
              <w:rPr>
                <w:b/>
              </w:rPr>
              <w:t xml:space="preserve">CE Mode </w:t>
            </w:r>
            <w:proofErr w:type="gramStart"/>
            <w:r w:rsidRPr="00E94FA4">
              <w:rPr>
                <w:b/>
              </w:rPr>
              <w:t>A</w:t>
            </w:r>
            <w:proofErr w:type="gramEnd"/>
            <w:r w:rsidRPr="00E94FA4">
              <w:rPr>
                <w:b/>
              </w:rPr>
              <w:t xml:space="preserve"> Improvement</w:t>
            </w:r>
          </w:p>
        </w:tc>
        <w:tc>
          <w:tcPr>
            <w:tcW w:w="1485" w:type="dxa"/>
            <w:vAlign w:val="center"/>
          </w:tcPr>
          <w:p w14:paraId="2268CE80" w14:textId="44BF386E" w:rsidR="00E94FA4" w:rsidRPr="00E94FA4" w:rsidRDefault="00E94FA4" w:rsidP="00101F54">
            <w:pPr>
              <w:jc w:val="center"/>
              <w:rPr>
                <w:b/>
              </w:rPr>
            </w:pPr>
            <w:r w:rsidRPr="00E94FA4">
              <w:rPr>
                <w:b/>
              </w:rPr>
              <w:t>CE Mode B Improvement</w:t>
            </w:r>
          </w:p>
        </w:tc>
      </w:tr>
      <w:tr w:rsidR="00E94FA4" w:rsidRPr="00E94FA4" w14:paraId="2F6BC787" w14:textId="77777777" w:rsidTr="003C6FE8">
        <w:trPr>
          <w:trHeight w:val="414"/>
          <w:jc w:val="center"/>
        </w:trPr>
        <w:tc>
          <w:tcPr>
            <w:tcW w:w="1484" w:type="dxa"/>
            <w:vAlign w:val="center"/>
          </w:tcPr>
          <w:p w14:paraId="2859164D" w14:textId="77777777" w:rsidR="003E3E8C" w:rsidRDefault="00E94FA4" w:rsidP="00101F54">
            <w:pPr>
              <w:jc w:val="center"/>
              <w:rPr>
                <w:b/>
              </w:rPr>
            </w:pPr>
            <w:r w:rsidRPr="00E94FA4">
              <w:rPr>
                <w:b/>
              </w:rPr>
              <w:t xml:space="preserve">Test 1 </w:t>
            </w:r>
          </w:p>
          <w:p w14:paraId="4A66E2A5" w14:textId="79FE358B" w:rsidR="00E94FA4" w:rsidRPr="00E94FA4" w:rsidRDefault="003E3E8C" w:rsidP="00101F54">
            <w:pPr>
              <w:jc w:val="center"/>
              <w:rPr>
                <w:b/>
              </w:rPr>
            </w:pPr>
            <w:r>
              <w:rPr>
                <w:b/>
              </w:rPr>
              <w:t>Section 8.11.2</w:t>
            </w:r>
          </w:p>
        </w:tc>
        <w:tc>
          <w:tcPr>
            <w:tcW w:w="1484" w:type="dxa"/>
            <w:vAlign w:val="center"/>
          </w:tcPr>
          <w:p w14:paraId="6811A264" w14:textId="434A7203" w:rsidR="00E94FA4" w:rsidRPr="00E94FA4" w:rsidRDefault="00E94FA4" w:rsidP="00101F54">
            <w:pPr>
              <w:jc w:val="center"/>
              <w:rPr>
                <w:b/>
              </w:rPr>
            </w:pPr>
            <w:r>
              <w:rPr>
                <w:b/>
              </w:rPr>
              <w:t>1.0 dB</w:t>
            </w:r>
          </w:p>
        </w:tc>
        <w:tc>
          <w:tcPr>
            <w:tcW w:w="1485" w:type="dxa"/>
            <w:vAlign w:val="center"/>
          </w:tcPr>
          <w:p w14:paraId="078FB6FD" w14:textId="6C462332" w:rsidR="00E94FA4" w:rsidRPr="00E94FA4" w:rsidRDefault="00E94FA4" w:rsidP="00101F54">
            <w:pPr>
              <w:jc w:val="center"/>
              <w:rPr>
                <w:b/>
              </w:rPr>
            </w:pPr>
            <w:r>
              <w:rPr>
                <w:b/>
              </w:rPr>
              <w:t>1.0 dB</w:t>
            </w:r>
          </w:p>
        </w:tc>
      </w:tr>
    </w:tbl>
    <w:p w14:paraId="444B081B" w14:textId="77777777" w:rsidR="00E94FA4" w:rsidRPr="0069291F" w:rsidRDefault="00E94FA4" w:rsidP="0069291F"/>
    <w:p w14:paraId="0F2B1286" w14:textId="258261D1" w:rsidR="0047210F" w:rsidRPr="0061593D" w:rsidRDefault="0061593D" w:rsidP="00425E78">
      <w:pPr>
        <w:rPr>
          <w:b/>
        </w:rPr>
      </w:pPr>
      <w:r w:rsidRPr="0061593D">
        <w:rPr>
          <w:b/>
        </w:rPr>
        <w:t xml:space="preserve">Observation 2. Using CRS for MPDCCH decoding results in significant performance improvement. </w:t>
      </w:r>
    </w:p>
    <w:p w14:paraId="65659100" w14:textId="4033F411" w:rsidR="00281B72" w:rsidRDefault="0061593D" w:rsidP="00FF1BDA">
      <w:r>
        <w:t xml:space="preserve">Hence, RAN4 should define new requirements for at least a subset of MPDCCH tests in Section 8.11.2 of 36.101 for UE that </w:t>
      </w:r>
      <w:proofErr w:type="gramStart"/>
      <w:r>
        <w:t>is capable of using</w:t>
      </w:r>
      <w:proofErr w:type="gramEnd"/>
      <w:r>
        <w:t xml:space="preserve"> CRS for MPDCCH decoding. </w:t>
      </w:r>
      <w:r w:rsidR="006F0E33">
        <w:t xml:space="preserve">Moreover, requirements for a UE that is capable of both CRS IM and using CRS to improve MPDCCH performance may have to be different compared to a UE that is not capable of CRS IM. This is because for UEs capable of CRS IM, CRS transmission is guaranteed only in 1 subframe before the start of MPDCCH </w:t>
      </w:r>
      <w:r w:rsidR="00664489">
        <w:t xml:space="preserve">(N1=1) </w:t>
      </w:r>
      <w:r w:rsidR="006F0E33">
        <w:t xml:space="preserve">and all MPDCCH subframes. Hence, quality of CRS channel estimate may be different compared to UEs that do long-term averaging of CRS channel estimate. </w:t>
      </w:r>
    </w:p>
    <w:p w14:paraId="11ED6BE4" w14:textId="04E092DA" w:rsidR="00664489" w:rsidRPr="00664489" w:rsidRDefault="00664489" w:rsidP="00FF1BDA">
      <w:pPr>
        <w:rPr>
          <w:b/>
        </w:rPr>
      </w:pPr>
      <w:r w:rsidRPr="00664489">
        <w:rPr>
          <w:b/>
        </w:rPr>
        <w:t xml:space="preserve">Proposal 2. RAN4 should define new requirements for at least a subset of MPDCCH tests in Section 8.11.2 of 36.101 for UE that </w:t>
      </w:r>
      <w:proofErr w:type="gramStart"/>
      <w:r w:rsidRPr="00664489">
        <w:rPr>
          <w:b/>
        </w:rPr>
        <w:t>is capable of using</w:t>
      </w:r>
      <w:proofErr w:type="gramEnd"/>
      <w:r w:rsidRPr="00664489">
        <w:rPr>
          <w:b/>
        </w:rPr>
        <w:t xml:space="preserve"> CRS for MPDCCH decoding. New requirements may have to be different for UEs that are capable of CRS IM or not since CRS transmission is present in only N1=1 subframe before start of MPDCCH.  </w:t>
      </w:r>
    </w:p>
    <w:p w14:paraId="1AECA06C" w14:textId="11197B2E" w:rsidR="00FF1BDA" w:rsidRDefault="001B6934" w:rsidP="00FF1BDA">
      <w:pPr>
        <w:rPr>
          <w:b/>
          <w:i/>
          <w:sz w:val="24"/>
        </w:rPr>
      </w:pPr>
      <w:r>
        <w:rPr>
          <w:b/>
          <w:i/>
          <w:sz w:val="24"/>
        </w:rPr>
        <w:t>Support of UE-group WUS:</w:t>
      </w:r>
    </w:p>
    <w:p w14:paraId="2663661F" w14:textId="3AAFA58D" w:rsidR="001A221D" w:rsidRDefault="001A221D" w:rsidP="001A221D">
      <w:pPr>
        <w:rPr>
          <w:lang w:val="en-US"/>
        </w:rPr>
      </w:pPr>
      <w:r>
        <w:rPr>
          <w:lang w:val="en-US"/>
        </w:rPr>
        <w:t xml:space="preserve">In R16 MTC, a new MWUS sequence known as UE-group </w:t>
      </w:r>
      <w:r w:rsidR="00C2734C">
        <w:rPr>
          <w:lang w:val="en-US"/>
        </w:rPr>
        <w:t>M</w:t>
      </w:r>
      <w:r>
        <w:rPr>
          <w:lang w:val="en-US"/>
        </w:rPr>
        <w:t xml:space="preserve">WUS will be introduced. A group of UEs will be associated with a UE-group </w:t>
      </w:r>
      <w:r w:rsidR="00C2734C">
        <w:rPr>
          <w:lang w:val="en-US"/>
        </w:rPr>
        <w:t>M</w:t>
      </w:r>
      <w:r>
        <w:rPr>
          <w:lang w:val="en-US"/>
        </w:rPr>
        <w:t xml:space="preserve">WUS. When one or more UEs in a group is paged, the associated UE-group </w:t>
      </w:r>
      <w:r w:rsidR="00C2734C">
        <w:rPr>
          <w:lang w:val="en-US"/>
        </w:rPr>
        <w:t>M</w:t>
      </w:r>
      <w:r>
        <w:rPr>
          <w:lang w:val="en-US"/>
        </w:rPr>
        <w:t xml:space="preserve">WUS will be transmitted before the paging occasion waking up all the UEs in the group. This </w:t>
      </w:r>
      <w:proofErr w:type="gramStart"/>
      <w:r>
        <w:rPr>
          <w:lang w:val="en-US"/>
        </w:rPr>
        <w:t>is in contrast to</w:t>
      </w:r>
      <w:proofErr w:type="gramEnd"/>
      <w:r>
        <w:rPr>
          <w:lang w:val="en-US"/>
        </w:rPr>
        <w:t xml:space="preserve"> legacy R15 </w:t>
      </w:r>
      <w:r w:rsidR="00C2734C">
        <w:rPr>
          <w:lang w:val="en-US"/>
        </w:rPr>
        <w:t>M</w:t>
      </w:r>
      <w:r>
        <w:rPr>
          <w:lang w:val="en-US"/>
        </w:rPr>
        <w:t xml:space="preserve">WUS which wakes up all UEs configured to monitor it. This improves power consumption for UEs supporting R16 </w:t>
      </w:r>
      <w:r w:rsidR="00C2734C">
        <w:rPr>
          <w:lang w:val="en-US"/>
        </w:rPr>
        <w:t>M</w:t>
      </w:r>
      <w:r>
        <w:rPr>
          <w:lang w:val="en-US"/>
        </w:rPr>
        <w:t xml:space="preserve">WUS. </w:t>
      </w:r>
    </w:p>
    <w:p w14:paraId="4E518C5A" w14:textId="1C90D4C4" w:rsidR="001A221D" w:rsidRDefault="001A221D" w:rsidP="001A221D">
      <w:pPr>
        <w:rPr>
          <w:lang w:val="en-US"/>
        </w:rPr>
      </w:pPr>
      <w:r>
        <w:rPr>
          <w:lang w:val="en-US"/>
        </w:rPr>
        <w:t xml:space="preserve">Design aspects of UE-group </w:t>
      </w:r>
      <w:r w:rsidR="00C2734C">
        <w:rPr>
          <w:lang w:val="en-US"/>
        </w:rPr>
        <w:t>M</w:t>
      </w:r>
      <w:r>
        <w:rPr>
          <w:lang w:val="en-US"/>
        </w:rPr>
        <w:t>WUS is still under consideration in RAN1. However, the following agreements have been made [5</w:t>
      </w:r>
      <w:r w:rsidR="00C2734C">
        <w:rPr>
          <w:lang w:val="en-US"/>
        </w:rPr>
        <w:t>-6</w:t>
      </w:r>
      <w:r>
        <w:rPr>
          <w:lang w:val="en-US"/>
        </w:rPr>
        <w:t>]:</w:t>
      </w:r>
    </w:p>
    <w:p w14:paraId="2112F72A" w14:textId="77777777" w:rsidR="00244CA2" w:rsidRPr="00244CA2" w:rsidRDefault="00244CA2" w:rsidP="00244CA2">
      <w:pPr>
        <w:pStyle w:val="ListParagraph"/>
        <w:numPr>
          <w:ilvl w:val="0"/>
          <w:numId w:val="31"/>
        </w:numPr>
        <w:rPr>
          <w:sz w:val="20"/>
          <w:lang w:val="en-GB" w:eastAsia="x-none"/>
        </w:rPr>
      </w:pPr>
      <w:r w:rsidRPr="00244CA2">
        <w:rPr>
          <w:sz w:val="20"/>
          <w:lang w:eastAsia="x-none"/>
        </w:rPr>
        <w:t xml:space="preserve">UE-group WUSs </w:t>
      </w:r>
      <w:proofErr w:type="gramStart"/>
      <w:r w:rsidRPr="00244CA2">
        <w:rPr>
          <w:sz w:val="20"/>
          <w:lang w:eastAsia="x-none"/>
        </w:rPr>
        <w:t>are</w:t>
      </w:r>
      <w:proofErr w:type="gramEnd"/>
      <w:r w:rsidRPr="00244CA2">
        <w:rPr>
          <w:sz w:val="20"/>
          <w:lang w:eastAsia="x-none"/>
        </w:rPr>
        <w:t xml:space="preserve"> only multiplexed in the same NB as associated PO</w:t>
      </w:r>
    </w:p>
    <w:p w14:paraId="0058C159" w14:textId="77777777" w:rsidR="00244CA2" w:rsidRPr="00244CA2" w:rsidRDefault="00244CA2" w:rsidP="00244CA2">
      <w:pPr>
        <w:pStyle w:val="ListParagraph"/>
        <w:numPr>
          <w:ilvl w:val="0"/>
          <w:numId w:val="31"/>
        </w:numPr>
        <w:contextualSpacing w:val="0"/>
        <w:rPr>
          <w:rFonts w:eastAsia="Malgun Gothic"/>
          <w:sz w:val="20"/>
          <w:szCs w:val="20"/>
          <w:lang w:eastAsia="zh-CN"/>
        </w:rPr>
      </w:pPr>
      <w:r w:rsidRPr="00244CA2">
        <w:rPr>
          <w:rFonts w:eastAsia="Malgun Gothic"/>
          <w:sz w:val="20"/>
          <w:szCs w:val="20"/>
          <w:lang w:eastAsia="zh-CN"/>
        </w:rPr>
        <w:lastRenderedPageBreak/>
        <w:t xml:space="preserve">UE-group MWUS is supported based on </w:t>
      </w:r>
      <w:proofErr w:type="spellStart"/>
      <w:r w:rsidRPr="00244CA2">
        <w:rPr>
          <w:rFonts w:eastAsia="Malgun Gothic"/>
          <w:sz w:val="20"/>
          <w:szCs w:val="20"/>
          <w:lang w:eastAsia="zh-CN"/>
        </w:rPr>
        <w:t>eNB’s</w:t>
      </w:r>
      <w:proofErr w:type="spellEnd"/>
      <w:r w:rsidRPr="00244CA2">
        <w:rPr>
          <w:rFonts w:eastAsia="Malgun Gothic"/>
          <w:sz w:val="20"/>
          <w:szCs w:val="20"/>
          <w:lang w:eastAsia="zh-CN"/>
        </w:rPr>
        <w:t xml:space="preserve"> and UE’s capability.</w:t>
      </w:r>
    </w:p>
    <w:p w14:paraId="7B3F3758" w14:textId="20805AAD" w:rsidR="00244CA2" w:rsidRPr="00244CA2" w:rsidRDefault="00244CA2" w:rsidP="00244CA2">
      <w:pPr>
        <w:pStyle w:val="ListParagraph"/>
        <w:numPr>
          <w:ilvl w:val="0"/>
          <w:numId w:val="31"/>
        </w:numPr>
        <w:rPr>
          <w:sz w:val="20"/>
        </w:rPr>
      </w:pPr>
      <w:r w:rsidRPr="00244CA2">
        <w:rPr>
          <w:rFonts w:eastAsia="Malgun Gothic"/>
          <w:sz w:val="20"/>
          <w:szCs w:val="20"/>
          <w:lang w:eastAsia="zh-CN"/>
        </w:rPr>
        <w:t xml:space="preserve">Whether the network supports UE-group MWUS is done by higher layer </w:t>
      </w:r>
      <w:proofErr w:type="spellStart"/>
      <w:r w:rsidRPr="00244CA2">
        <w:rPr>
          <w:rFonts w:eastAsia="Malgun Gothic"/>
          <w:sz w:val="20"/>
          <w:szCs w:val="20"/>
          <w:lang w:eastAsia="zh-CN"/>
        </w:rPr>
        <w:t>signalling</w:t>
      </w:r>
      <w:proofErr w:type="spellEnd"/>
    </w:p>
    <w:p w14:paraId="1E420273" w14:textId="77777777" w:rsidR="00244CA2" w:rsidRPr="00244CA2" w:rsidRDefault="00244CA2" w:rsidP="00244CA2">
      <w:pPr>
        <w:pStyle w:val="ListParagraph"/>
        <w:numPr>
          <w:ilvl w:val="1"/>
          <w:numId w:val="31"/>
        </w:numPr>
        <w:contextualSpacing w:val="0"/>
        <w:rPr>
          <w:rFonts w:eastAsia="Malgun Gothic"/>
          <w:sz w:val="20"/>
          <w:szCs w:val="20"/>
          <w:lang w:eastAsia="zh-CN"/>
        </w:rPr>
      </w:pPr>
      <w:r w:rsidRPr="00244CA2">
        <w:rPr>
          <w:rFonts w:eastAsia="Malgun Gothic"/>
          <w:sz w:val="20"/>
          <w:szCs w:val="20"/>
          <w:lang w:eastAsia="zh-CN"/>
        </w:rPr>
        <w:t>Note that the UE-group MWUS is UE optional</w:t>
      </w:r>
    </w:p>
    <w:p w14:paraId="60D644F2" w14:textId="77777777" w:rsidR="00244CA2" w:rsidRPr="00244CA2" w:rsidRDefault="00244CA2" w:rsidP="00244CA2">
      <w:pPr>
        <w:pStyle w:val="ListParagraph"/>
        <w:numPr>
          <w:ilvl w:val="0"/>
          <w:numId w:val="31"/>
        </w:numPr>
        <w:rPr>
          <w:sz w:val="20"/>
          <w:lang w:val="en-GB" w:eastAsia="x-none"/>
        </w:rPr>
      </w:pPr>
      <w:r w:rsidRPr="00244CA2">
        <w:rPr>
          <w:sz w:val="20"/>
        </w:rPr>
        <w:t>UE grouping is based on at least UE ID or some function of UE ID</w:t>
      </w:r>
    </w:p>
    <w:p w14:paraId="536E2E88" w14:textId="77777777" w:rsidR="00244CA2" w:rsidRPr="00244CA2" w:rsidRDefault="00244CA2" w:rsidP="00244CA2">
      <w:pPr>
        <w:pStyle w:val="ListParagraph"/>
        <w:numPr>
          <w:ilvl w:val="0"/>
          <w:numId w:val="31"/>
        </w:numPr>
        <w:rPr>
          <w:sz w:val="20"/>
          <w:lang w:val="en-GB" w:eastAsia="x-none"/>
        </w:rPr>
      </w:pPr>
      <w:r w:rsidRPr="00244CA2">
        <w:rPr>
          <w:sz w:val="20"/>
          <w:lang w:eastAsia="x-none"/>
        </w:rPr>
        <w:t>The legacy UE should not be prevented from using legacy WUS even in the case of Rel-16 group WUS is enabled</w:t>
      </w:r>
    </w:p>
    <w:p w14:paraId="697E8823" w14:textId="77777777" w:rsidR="00244CA2" w:rsidRPr="00244CA2" w:rsidRDefault="00244CA2" w:rsidP="00244CA2">
      <w:pPr>
        <w:pStyle w:val="ListParagraph"/>
        <w:numPr>
          <w:ilvl w:val="0"/>
          <w:numId w:val="31"/>
        </w:numPr>
        <w:rPr>
          <w:sz w:val="20"/>
          <w:szCs w:val="40"/>
          <w:lang w:val="en-GB"/>
        </w:rPr>
      </w:pPr>
      <w:r w:rsidRPr="00244CA2">
        <w:rPr>
          <w:sz w:val="20"/>
          <w:szCs w:val="40"/>
        </w:rPr>
        <w:t>Group WUS is based on at least legacy WUS and UE-group ID.</w:t>
      </w:r>
    </w:p>
    <w:p w14:paraId="32E8D0DE" w14:textId="75D0E217" w:rsidR="00244CA2" w:rsidRPr="00244CA2" w:rsidRDefault="00244CA2" w:rsidP="00244CA2">
      <w:pPr>
        <w:pStyle w:val="ListParagraph"/>
        <w:numPr>
          <w:ilvl w:val="0"/>
          <w:numId w:val="31"/>
        </w:numPr>
        <w:rPr>
          <w:sz w:val="20"/>
          <w:szCs w:val="40"/>
          <w:lang w:val="en-GB"/>
        </w:rPr>
      </w:pPr>
      <w:r w:rsidRPr="00244CA2">
        <w:rPr>
          <w:sz w:val="20"/>
        </w:rPr>
        <w:t xml:space="preserve">Configuration of group WUS is at least signaled in SI. </w:t>
      </w:r>
      <w:r w:rsidRPr="00244CA2">
        <w:rPr>
          <w:sz w:val="20"/>
          <w:lang w:eastAsia="x-none"/>
        </w:rPr>
        <w:t>The number of UE groups is configurable and broadcasted in SIB.</w:t>
      </w:r>
    </w:p>
    <w:p w14:paraId="67E5A918" w14:textId="77777777" w:rsidR="00244CA2" w:rsidRPr="00244CA2" w:rsidRDefault="00244CA2" w:rsidP="00244CA2">
      <w:pPr>
        <w:pStyle w:val="ListParagraph"/>
        <w:numPr>
          <w:ilvl w:val="0"/>
          <w:numId w:val="31"/>
        </w:numPr>
        <w:rPr>
          <w:sz w:val="20"/>
          <w:lang w:val="en-GB" w:eastAsia="x-none"/>
        </w:rPr>
      </w:pPr>
      <w:r w:rsidRPr="00244CA2">
        <w:rPr>
          <w:sz w:val="20"/>
          <w:lang w:eastAsia="x-none"/>
        </w:rPr>
        <w:t>UE group ID is used as a parameter to generate WUS UE group sequence(s).</w:t>
      </w:r>
    </w:p>
    <w:p w14:paraId="77236727" w14:textId="7BFAF73B" w:rsidR="00244CA2" w:rsidRPr="00244CA2" w:rsidRDefault="00244CA2" w:rsidP="00244CA2">
      <w:pPr>
        <w:pStyle w:val="ListParagraph"/>
        <w:numPr>
          <w:ilvl w:val="0"/>
          <w:numId w:val="31"/>
        </w:numPr>
        <w:rPr>
          <w:sz w:val="20"/>
        </w:rPr>
      </w:pPr>
      <w:r w:rsidRPr="00244CA2">
        <w:rPr>
          <w:sz w:val="20"/>
        </w:rPr>
        <w:t>One group WUS is designed as a single sequence</w:t>
      </w:r>
    </w:p>
    <w:p w14:paraId="5C71362C" w14:textId="7556825E" w:rsidR="00244CA2" w:rsidRPr="00244CA2" w:rsidRDefault="00244CA2" w:rsidP="00244CA2">
      <w:pPr>
        <w:pStyle w:val="ListParagraph"/>
        <w:numPr>
          <w:ilvl w:val="0"/>
          <w:numId w:val="31"/>
        </w:numPr>
        <w:rPr>
          <w:sz w:val="20"/>
        </w:rPr>
      </w:pPr>
      <w:r w:rsidRPr="00244CA2">
        <w:rPr>
          <w:sz w:val="20"/>
        </w:rPr>
        <w:t>A Rel-16 group WUS capable UE shall also be capable of Rel-15 legacy WUS</w:t>
      </w:r>
    </w:p>
    <w:p w14:paraId="12D43C20" w14:textId="2E3FBD7D" w:rsidR="00244CA2" w:rsidRPr="00244CA2" w:rsidRDefault="00244CA2" w:rsidP="00244CA2">
      <w:pPr>
        <w:pStyle w:val="ListParagraph"/>
        <w:numPr>
          <w:ilvl w:val="0"/>
          <w:numId w:val="31"/>
        </w:numPr>
        <w:rPr>
          <w:sz w:val="20"/>
        </w:rPr>
      </w:pPr>
      <w:r w:rsidRPr="00244CA2">
        <w:rPr>
          <w:sz w:val="20"/>
        </w:rPr>
        <w:t>Rel-16 group WUS uses the same gap configurations as for Rel-15 legacy WUS except for differences from possible TDM</w:t>
      </w:r>
    </w:p>
    <w:p w14:paraId="1997532E" w14:textId="395A9DAF" w:rsidR="001B6934" w:rsidRDefault="001B6934" w:rsidP="00FF1BDA"/>
    <w:p w14:paraId="33714FB7" w14:textId="0BD3DC97" w:rsidR="00422982" w:rsidRPr="00422982" w:rsidRDefault="00856C05" w:rsidP="00422982">
      <w:pPr>
        <w:pStyle w:val="LGTdoc1"/>
        <w:spacing w:before="120" w:after="220" w:afterAutospacing="0"/>
        <w:rPr>
          <w:b w:val="0"/>
          <w:sz w:val="20"/>
        </w:rPr>
      </w:pPr>
      <w:r w:rsidRPr="00422982">
        <w:rPr>
          <w:b w:val="0"/>
          <w:sz w:val="20"/>
        </w:rPr>
        <w:t xml:space="preserve">Multiplexing schemes of UE-group MWUS with legacy MWUS is still under discussion in RAN1. The candidates are shown in Figure 1 [7]. </w:t>
      </w:r>
      <w:r w:rsidR="00422982" w:rsidRPr="00422982">
        <w:rPr>
          <w:b w:val="0"/>
          <w:sz w:val="20"/>
        </w:rPr>
        <w:t xml:space="preserve">The legacy MWUS without UE grouping is shown in Figure 1(a) as a reference, where the transmit power </w:t>
      </w:r>
      <w:proofErr w:type="spellStart"/>
      <w:r w:rsidR="00422982" w:rsidRPr="00422982">
        <w:rPr>
          <w:b w:val="0"/>
          <w:i/>
          <w:sz w:val="20"/>
        </w:rPr>
        <w:t>P</w:t>
      </w:r>
      <w:r w:rsidR="00422982" w:rsidRPr="00422982">
        <w:rPr>
          <w:b w:val="0"/>
          <w:sz w:val="20"/>
          <w:vertAlign w:val="subscript"/>
        </w:rPr>
        <w:t>tx</w:t>
      </w:r>
      <w:proofErr w:type="spellEnd"/>
      <w:r w:rsidR="00422982" w:rsidRPr="00422982">
        <w:rPr>
          <w:b w:val="0"/>
          <w:sz w:val="20"/>
        </w:rPr>
        <w:t xml:space="preserve"> is only used on two PRBs. </w:t>
      </w:r>
    </w:p>
    <w:p w14:paraId="6460245B" w14:textId="5AEACC4B" w:rsidR="00856C05" w:rsidRDefault="00856C05" w:rsidP="00FF1BDA"/>
    <w:p w14:paraId="5F8D12B3" w14:textId="77777777" w:rsidR="00244CA2" w:rsidRDefault="00244CA2" w:rsidP="00244CA2">
      <w:pPr>
        <w:keepNext/>
        <w:jc w:val="center"/>
      </w:pPr>
      <w:r>
        <w:rPr>
          <w:noProof/>
        </w:rPr>
        <w:drawing>
          <wp:inline distT="0" distB="0" distL="0" distR="0" wp14:anchorId="11165D7A" wp14:editId="220CDD60">
            <wp:extent cx="4452620" cy="5123815"/>
            <wp:effectExtent l="0" t="0" r="508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2620" cy="5123815"/>
                    </a:xfrm>
                    <a:prstGeom prst="rect">
                      <a:avLst/>
                    </a:prstGeom>
                    <a:noFill/>
                    <a:ln>
                      <a:noFill/>
                    </a:ln>
                  </pic:spPr>
                </pic:pic>
              </a:graphicData>
            </a:graphic>
          </wp:inline>
        </w:drawing>
      </w:r>
    </w:p>
    <w:p w14:paraId="1EA96437" w14:textId="59C251A3" w:rsidR="00244CA2" w:rsidRDefault="00244CA2" w:rsidP="00244CA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Multiplexing schemes of UE-group MWUS and legacy MWUS</w:t>
      </w:r>
    </w:p>
    <w:p w14:paraId="0EC2D0AE" w14:textId="62CC5D5A" w:rsidR="00422982" w:rsidRDefault="00422982" w:rsidP="00422982"/>
    <w:p w14:paraId="380F5D55" w14:textId="77777777" w:rsidR="00422982" w:rsidRPr="00422982" w:rsidRDefault="00422982" w:rsidP="00422982">
      <w:pPr>
        <w:pStyle w:val="LGTdoc1"/>
        <w:spacing w:before="120" w:after="220" w:afterAutospacing="0"/>
        <w:rPr>
          <w:b w:val="0"/>
          <w:sz w:val="20"/>
        </w:rPr>
      </w:pPr>
      <w:r w:rsidRPr="00422982">
        <w:rPr>
          <w:b w:val="0"/>
          <w:sz w:val="20"/>
        </w:rPr>
        <w:lastRenderedPageBreak/>
        <w:t xml:space="preserve">In Figure 1(b) TDM scheme, same transmit power, </w:t>
      </w:r>
      <w:proofErr w:type="spellStart"/>
      <w:r w:rsidRPr="00422982">
        <w:rPr>
          <w:b w:val="0"/>
          <w:i/>
          <w:sz w:val="20"/>
        </w:rPr>
        <w:t>P</w:t>
      </w:r>
      <w:r w:rsidRPr="00422982">
        <w:rPr>
          <w:b w:val="0"/>
          <w:sz w:val="20"/>
          <w:vertAlign w:val="subscript"/>
        </w:rPr>
        <w:t>tx</w:t>
      </w:r>
      <w:proofErr w:type="spellEnd"/>
      <w:r w:rsidRPr="00422982">
        <w:rPr>
          <w:b w:val="0"/>
          <w:sz w:val="20"/>
        </w:rPr>
        <w:t xml:space="preserve"> is used for each MWUS. Hence, MWUS monitored by legacy UE is not impacted by new UE-group MWUS. The UE-group MWUS is configured by using different starting subframes, separated by the max MWUS duration, </w:t>
      </w:r>
      <w:r w:rsidRPr="00422982">
        <w:rPr>
          <w:b w:val="0"/>
          <w:i/>
          <w:sz w:val="20"/>
        </w:rPr>
        <w:t>L</w:t>
      </w:r>
      <w:r w:rsidRPr="00422982">
        <w:rPr>
          <w:b w:val="0"/>
          <w:sz w:val="20"/>
        </w:rPr>
        <w:t xml:space="preserve">. The total reserved time required for </w:t>
      </w:r>
      <w:proofErr w:type="spellStart"/>
      <w:r w:rsidRPr="00422982">
        <w:rPr>
          <w:b w:val="0"/>
          <w:sz w:val="20"/>
        </w:rPr>
        <w:t>TDMed</w:t>
      </w:r>
      <w:proofErr w:type="spellEnd"/>
      <w:r w:rsidRPr="00422982">
        <w:rPr>
          <w:b w:val="0"/>
          <w:sz w:val="20"/>
        </w:rPr>
        <w:t xml:space="preserve"> MWUS is </w:t>
      </w:r>
      <w:r w:rsidRPr="00422982">
        <w:rPr>
          <w:b w:val="0"/>
          <w:i/>
          <w:sz w:val="20"/>
        </w:rPr>
        <w:t>G</w:t>
      </w:r>
      <w:r w:rsidRPr="00422982">
        <w:rPr>
          <w:b w:val="0"/>
          <w:sz w:val="20"/>
        </w:rPr>
        <w:t>*</w:t>
      </w:r>
      <w:r w:rsidRPr="00422982">
        <w:rPr>
          <w:b w:val="0"/>
          <w:i/>
          <w:sz w:val="20"/>
        </w:rPr>
        <w:t>L</w:t>
      </w:r>
      <w:r w:rsidRPr="00422982">
        <w:rPr>
          <w:b w:val="0"/>
          <w:sz w:val="20"/>
        </w:rPr>
        <w:t xml:space="preserve">. There is no power sharing of different MWUS. But smaller G and/or shorter duration of </w:t>
      </w:r>
      <w:r w:rsidRPr="00422982">
        <w:rPr>
          <w:b w:val="0"/>
          <w:i/>
          <w:sz w:val="20"/>
        </w:rPr>
        <w:t>L</w:t>
      </w:r>
      <w:r w:rsidRPr="00422982">
        <w:rPr>
          <w:b w:val="0"/>
          <w:sz w:val="20"/>
        </w:rPr>
        <w:t xml:space="preserve"> may be needed to limit the overhead and delay. </w:t>
      </w:r>
    </w:p>
    <w:p w14:paraId="11C91688" w14:textId="77777777" w:rsidR="00CF7BEB" w:rsidRPr="00CF7BEB" w:rsidRDefault="00422982" w:rsidP="00CF7BEB">
      <w:pPr>
        <w:pStyle w:val="LGTdoc1"/>
        <w:spacing w:before="120" w:after="220" w:afterAutospacing="0"/>
        <w:rPr>
          <w:b w:val="0"/>
          <w:sz w:val="20"/>
        </w:rPr>
      </w:pPr>
      <w:r w:rsidRPr="00CF7BEB">
        <w:rPr>
          <w:b w:val="0"/>
          <w:sz w:val="20"/>
        </w:rPr>
        <w:t xml:space="preserve">In Figure 1(c), FDM scheme is illustrated. If </w:t>
      </w:r>
      <w:proofErr w:type="spellStart"/>
      <w:r w:rsidRPr="00CF7BEB">
        <w:rPr>
          <w:b w:val="0"/>
          <w:sz w:val="20"/>
        </w:rPr>
        <w:t>eNB</w:t>
      </w:r>
      <w:proofErr w:type="spellEnd"/>
      <w:r w:rsidRPr="00CF7BEB">
        <w:rPr>
          <w:b w:val="0"/>
          <w:sz w:val="20"/>
        </w:rPr>
        <w:t xml:space="preserve"> does not boost the power, the transmit power, </w:t>
      </w:r>
      <w:proofErr w:type="spellStart"/>
      <w:r w:rsidRPr="00CF7BEB">
        <w:rPr>
          <w:b w:val="0"/>
          <w:i/>
          <w:sz w:val="20"/>
        </w:rPr>
        <w:t>P</w:t>
      </w:r>
      <w:r w:rsidRPr="00CF7BEB">
        <w:rPr>
          <w:b w:val="0"/>
          <w:sz w:val="20"/>
          <w:vertAlign w:val="subscript"/>
        </w:rPr>
        <w:t>tx</w:t>
      </w:r>
      <w:proofErr w:type="spellEnd"/>
      <w:r w:rsidRPr="00CF7BEB">
        <w:rPr>
          <w:b w:val="0"/>
          <w:sz w:val="20"/>
        </w:rPr>
        <w:t xml:space="preserve"> </w:t>
      </w:r>
      <w:r w:rsidR="00CF7BEB" w:rsidRPr="00CF7BEB">
        <w:rPr>
          <w:b w:val="0"/>
          <w:sz w:val="20"/>
        </w:rPr>
        <w:t xml:space="preserve">is shared among all MWUS groups that are being transmitted simultaneously. Assuming </w:t>
      </w:r>
      <w:r w:rsidR="00CF7BEB" w:rsidRPr="00CF7BEB">
        <w:rPr>
          <w:b w:val="0"/>
          <w:i/>
          <w:sz w:val="20"/>
        </w:rPr>
        <w:t>G</w:t>
      </w:r>
      <w:r w:rsidR="00CF7BEB" w:rsidRPr="00CF7BEB">
        <w:rPr>
          <w:b w:val="0"/>
          <w:sz w:val="20"/>
        </w:rPr>
        <w:t xml:space="preserve"> is the configured number of UE groups, each MWUS has only </w:t>
      </w:r>
      <w:proofErr w:type="spellStart"/>
      <w:r w:rsidR="00CF7BEB" w:rsidRPr="00CF7BEB">
        <w:rPr>
          <w:b w:val="0"/>
          <w:i/>
          <w:sz w:val="20"/>
        </w:rPr>
        <w:t>P</w:t>
      </w:r>
      <w:r w:rsidR="00CF7BEB" w:rsidRPr="00CF7BEB">
        <w:rPr>
          <w:b w:val="0"/>
          <w:sz w:val="20"/>
          <w:vertAlign w:val="subscript"/>
        </w:rPr>
        <w:t>tx</w:t>
      </w:r>
      <w:proofErr w:type="spellEnd"/>
      <w:r w:rsidR="00CF7BEB" w:rsidRPr="00CF7BEB">
        <w:rPr>
          <w:b w:val="0"/>
          <w:sz w:val="20"/>
        </w:rPr>
        <w:t>/</w:t>
      </w:r>
      <w:r w:rsidR="00CF7BEB" w:rsidRPr="00CF7BEB">
        <w:rPr>
          <w:b w:val="0"/>
          <w:i/>
          <w:sz w:val="20"/>
        </w:rPr>
        <w:t>G</w:t>
      </w:r>
      <w:r w:rsidR="00CF7BEB" w:rsidRPr="00CF7BEB">
        <w:rPr>
          <w:b w:val="0"/>
          <w:sz w:val="20"/>
        </w:rPr>
        <w:t xml:space="preserve"> power so the MWUS duration </w:t>
      </w:r>
      <w:proofErr w:type="gramStart"/>
      <w:r w:rsidR="00CF7BEB" w:rsidRPr="00CF7BEB">
        <w:rPr>
          <w:b w:val="0"/>
          <w:sz w:val="20"/>
        </w:rPr>
        <w:t>has to</w:t>
      </w:r>
      <w:proofErr w:type="gramEnd"/>
      <w:r w:rsidR="00CF7BEB" w:rsidRPr="00CF7BEB">
        <w:rPr>
          <w:b w:val="0"/>
          <w:sz w:val="20"/>
        </w:rPr>
        <w:t xml:space="preserve"> be increased </w:t>
      </w:r>
      <w:r w:rsidR="00CF7BEB" w:rsidRPr="00CF7BEB">
        <w:rPr>
          <w:b w:val="0"/>
          <w:i/>
          <w:sz w:val="20"/>
        </w:rPr>
        <w:t>G</w:t>
      </w:r>
      <w:r w:rsidR="00CF7BEB" w:rsidRPr="00CF7BEB">
        <w:rPr>
          <w:b w:val="0"/>
          <w:sz w:val="20"/>
        </w:rPr>
        <w:t xml:space="preserve"> times, relative to Figure 1(a) and (b), to achieve a similar performance. The max duration of </w:t>
      </w:r>
      <w:r w:rsidR="00CF7BEB" w:rsidRPr="00CF7BEB">
        <w:rPr>
          <w:b w:val="0"/>
          <w:i/>
          <w:sz w:val="20"/>
        </w:rPr>
        <w:t>G</w:t>
      </w:r>
      <w:r w:rsidR="00CF7BEB" w:rsidRPr="00CF7BEB">
        <w:rPr>
          <w:b w:val="0"/>
          <w:sz w:val="20"/>
        </w:rPr>
        <w:t>*</w:t>
      </w:r>
      <w:r w:rsidR="00CF7BEB" w:rsidRPr="00CF7BEB">
        <w:rPr>
          <w:b w:val="0"/>
          <w:i/>
          <w:sz w:val="20"/>
        </w:rPr>
        <w:t>L</w:t>
      </w:r>
      <w:r w:rsidR="00CF7BEB" w:rsidRPr="00CF7BEB">
        <w:rPr>
          <w:b w:val="0"/>
          <w:sz w:val="20"/>
        </w:rPr>
        <w:t xml:space="preserve"> </w:t>
      </w:r>
      <w:proofErr w:type="gramStart"/>
      <w:r w:rsidR="00CF7BEB" w:rsidRPr="00CF7BEB">
        <w:rPr>
          <w:b w:val="0"/>
          <w:sz w:val="20"/>
        </w:rPr>
        <w:t>has to</w:t>
      </w:r>
      <w:proofErr w:type="gramEnd"/>
      <w:r w:rsidR="00CF7BEB" w:rsidRPr="00CF7BEB">
        <w:rPr>
          <w:b w:val="0"/>
          <w:sz w:val="20"/>
        </w:rPr>
        <w:t xml:space="preserve"> be configured to consider the worst case for multi-MWUS transmission, unless </w:t>
      </w:r>
      <w:proofErr w:type="spellStart"/>
      <w:r w:rsidR="00CF7BEB" w:rsidRPr="00CF7BEB">
        <w:rPr>
          <w:b w:val="0"/>
          <w:sz w:val="20"/>
        </w:rPr>
        <w:t>eNB</w:t>
      </w:r>
      <w:proofErr w:type="spellEnd"/>
      <w:r w:rsidR="00CF7BEB" w:rsidRPr="00CF7BEB">
        <w:rPr>
          <w:b w:val="0"/>
          <w:sz w:val="20"/>
        </w:rPr>
        <w:t xml:space="preserve"> can do G times of power boosting.</w:t>
      </w:r>
    </w:p>
    <w:p w14:paraId="55264419" w14:textId="1FD402F5" w:rsidR="00422982" w:rsidRDefault="00E314E3" w:rsidP="00422982">
      <w:r w:rsidRPr="00E314E3">
        <w:t xml:space="preserve">In Figure 1(d), </w:t>
      </w:r>
      <w:bookmarkStart w:id="6" w:name="_Hlk520973053"/>
      <w:r w:rsidRPr="00E314E3">
        <w:t>the multi-sequence CDM allows transmi</w:t>
      </w:r>
      <w:r>
        <w:t>ssion of</w:t>
      </w:r>
      <w:r w:rsidRPr="00E314E3">
        <w:t xml:space="preserve"> multiple MWUS simultaneously. </w:t>
      </w:r>
      <w:proofErr w:type="gramStart"/>
      <w:r w:rsidRPr="00E314E3">
        <w:t xml:space="preserve">Similar </w:t>
      </w:r>
      <w:r>
        <w:t>to</w:t>
      </w:r>
      <w:proofErr w:type="gramEnd"/>
      <w:r w:rsidRPr="00E314E3">
        <w:t xml:space="preserve"> FDM</w:t>
      </w:r>
      <w:r>
        <w:t xml:space="preserve"> scheme</w:t>
      </w:r>
      <w:r w:rsidRPr="00E314E3">
        <w:t>, in case of no power boosting</w:t>
      </w:r>
      <w:r>
        <w:t xml:space="preserve"> in </w:t>
      </w:r>
      <w:proofErr w:type="spellStart"/>
      <w:r>
        <w:t>eNB</w:t>
      </w:r>
      <w:proofErr w:type="spellEnd"/>
      <w:r w:rsidRPr="00E314E3">
        <w:t xml:space="preserve">, each MWUS has only </w:t>
      </w:r>
      <w:proofErr w:type="spellStart"/>
      <w:r w:rsidRPr="00E314E3">
        <w:rPr>
          <w:i/>
        </w:rPr>
        <w:t>P</w:t>
      </w:r>
      <w:r w:rsidRPr="00E314E3">
        <w:rPr>
          <w:vertAlign w:val="subscript"/>
        </w:rPr>
        <w:t>tx</w:t>
      </w:r>
      <w:proofErr w:type="spellEnd"/>
      <w:r w:rsidRPr="00E314E3">
        <w:t>/</w:t>
      </w:r>
      <w:r w:rsidRPr="00E314E3">
        <w:rPr>
          <w:i/>
        </w:rPr>
        <w:t>G</w:t>
      </w:r>
      <w:r w:rsidRPr="00E314E3">
        <w:t xml:space="preserve"> power. </w:t>
      </w:r>
      <w:bookmarkEnd w:id="6"/>
      <w:r w:rsidRPr="00E314E3">
        <w:t xml:space="preserve">The duration of </w:t>
      </w:r>
      <w:proofErr w:type="spellStart"/>
      <w:r w:rsidRPr="00E314E3">
        <w:t>CDMed</w:t>
      </w:r>
      <w:proofErr w:type="spellEnd"/>
      <w:r w:rsidRPr="00E314E3">
        <w:t xml:space="preserve"> MWUS may be further increased due to the inter-group interference based on non-orthogonal sequences, costing </w:t>
      </w:r>
      <w:bookmarkStart w:id="7" w:name="_Hlk521312196"/>
      <w:r w:rsidRPr="00E314E3">
        <w:rPr>
          <w:i/>
        </w:rPr>
        <w:t>G</w:t>
      </w:r>
      <w:r w:rsidRPr="00E314E3">
        <w:t>(1+D</w:t>
      </w:r>
      <w:r w:rsidRPr="00E314E3">
        <w:rPr>
          <w:i/>
        </w:rPr>
        <w:t>L</w:t>
      </w:r>
      <w:r w:rsidRPr="00E314E3">
        <w:t>/</w:t>
      </w:r>
      <w:r w:rsidRPr="00E314E3">
        <w:rPr>
          <w:i/>
        </w:rPr>
        <w:t>L</w:t>
      </w:r>
      <w:r w:rsidRPr="00E314E3">
        <w:t xml:space="preserve">) </w:t>
      </w:r>
      <w:bookmarkEnd w:id="7"/>
      <w:r w:rsidRPr="00E314E3">
        <w:t xml:space="preserve">times of </w:t>
      </w:r>
      <w:bookmarkStart w:id="8" w:name="_Hlk521312202"/>
      <w:r w:rsidRPr="00E314E3">
        <w:t xml:space="preserve">network resources and </w:t>
      </w:r>
      <w:bookmarkEnd w:id="8"/>
      <w:r w:rsidRPr="00E314E3">
        <w:t>UE power consumption as well.</w:t>
      </w:r>
    </w:p>
    <w:p w14:paraId="7F1E8860" w14:textId="77777777" w:rsidR="00E314E3" w:rsidRPr="00E314E3" w:rsidRDefault="00E314E3" w:rsidP="00E314E3">
      <w:pPr>
        <w:pStyle w:val="LGTdoc1"/>
        <w:spacing w:before="120" w:after="220" w:afterAutospacing="0"/>
        <w:rPr>
          <w:b w:val="0"/>
          <w:sz w:val="20"/>
        </w:rPr>
      </w:pPr>
      <w:r w:rsidRPr="00E314E3">
        <w:rPr>
          <w:b w:val="0"/>
          <w:sz w:val="20"/>
        </w:rPr>
        <w:t xml:space="preserve">In Figure 1(e), single-sequence CDM does not allow to transmit more than one MWUS simultaneously. The legacy MWUS acts as a </w:t>
      </w:r>
      <w:r w:rsidRPr="00E314E3">
        <w:rPr>
          <w:b w:val="0"/>
          <w:i/>
          <w:sz w:val="20"/>
        </w:rPr>
        <w:t>common MWUS</w:t>
      </w:r>
      <w:r w:rsidRPr="00E314E3">
        <w:rPr>
          <w:b w:val="0"/>
          <w:sz w:val="20"/>
        </w:rPr>
        <w:t xml:space="preserve"> to be sent when legacy UE or any new UEs in more than one group have paging in the associated PO. The UE-group MWUS (i.e., not the common one) will only be selected if there is paging for a single group. Single-sequence CDM has no issue of power sharing or additional overhead/latency. However, the main issue is that it sacrifices the power saving gain. The legacy WUS will wake up all UEs even if only 1% legacy UEs in the system. The paging of new UEs also give negative impact on the legacy UE power saving as well. It is contradictory to the motivation of introducing UE-group MWUS. Therefore, single-sequence CDM is worse than TDM, FDM or multi-sequence CDM from the power saving perspective.</w:t>
      </w:r>
    </w:p>
    <w:p w14:paraId="5982A453" w14:textId="0E32C5AD" w:rsidR="00E314E3" w:rsidRDefault="00E314E3" w:rsidP="00E314E3">
      <w:r>
        <w:t xml:space="preserve">Regardless of multiplexing scheme, it is evident that a R16 UE needs to monitor </w:t>
      </w:r>
      <w:r w:rsidRPr="004E7940">
        <w:rPr>
          <w:u w:val="single"/>
        </w:rPr>
        <w:t>at least</w:t>
      </w:r>
      <w:r>
        <w:t xml:space="preserve"> two types of MWUS:</w:t>
      </w:r>
    </w:p>
    <w:p w14:paraId="03E6E830" w14:textId="08E13792" w:rsidR="00E314E3" w:rsidRPr="004E7940" w:rsidRDefault="00E314E3" w:rsidP="00E314E3">
      <w:pPr>
        <w:pStyle w:val="ListParagraph"/>
        <w:numPr>
          <w:ilvl w:val="0"/>
          <w:numId w:val="12"/>
        </w:numPr>
        <w:rPr>
          <w:sz w:val="20"/>
        </w:rPr>
      </w:pPr>
      <w:r w:rsidRPr="004E7940">
        <w:rPr>
          <w:sz w:val="20"/>
        </w:rPr>
        <w:t xml:space="preserve">Legacy </w:t>
      </w:r>
      <w:r>
        <w:rPr>
          <w:sz w:val="20"/>
        </w:rPr>
        <w:t>M</w:t>
      </w:r>
      <w:r w:rsidRPr="004E7940">
        <w:rPr>
          <w:sz w:val="20"/>
        </w:rPr>
        <w:t xml:space="preserve">WUS also known as common </w:t>
      </w:r>
      <w:r>
        <w:rPr>
          <w:sz w:val="20"/>
        </w:rPr>
        <w:t>M</w:t>
      </w:r>
      <w:r w:rsidRPr="004E7940">
        <w:rPr>
          <w:sz w:val="20"/>
        </w:rPr>
        <w:t>WUS</w:t>
      </w:r>
    </w:p>
    <w:p w14:paraId="4C66195B" w14:textId="608A8773" w:rsidR="00E314E3" w:rsidRDefault="00E314E3" w:rsidP="00E314E3">
      <w:pPr>
        <w:pStyle w:val="ListParagraph"/>
        <w:numPr>
          <w:ilvl w:val="0"/>
          <w:numId w:val="12"/>
        </w:numPr>
        <w:rPr>
          <w:sz w:val="20"/>
        </w:rPr>
      </w:pPr>
      <w:r w:rsidRPr="004E7940">
        <w:rPr>
          <w:sz w:val="20"/>
        </w:rPr>
        <w:t xml:space="preserve">UE-group </w:t>
      </w:r>
      <w:r>
        <w:rPr>
          <w:sz w:val="20"/>
        </w:rPr>
        <w:t>M</w:t>
      </w:r>
      <w:r w:rsidRPr="004E7940">
        <w:rPr>
          <w:sz w:val="20"/>
        </w:rPr>
        <w:t>WUS</w:t>
      </w:r>
    </w:p>
    <w:p w14:paraId="03E7A070" w14:textId="77777777" w:rsidR="00E314E3" w:rsidRDefault="00E314E3" w:rsidP="00E314E3"/>
    <w:p w14:paraId="68029D23" w14:textId="158AA59E" w:rsidR="00E314E3" w:rsidRPr="004E7940" w:rsidRDefault="00E314E3" w:rsidP="00E314E3">
      <w:r>
        <w:t>If the resources for legacy MWUS and UE-group MWUS are colliding (e.g., multi sequence CDM as in Figure 1-(d</w:t>
      </w:r>
      <w:proofErr w:type="gramStart"/>
      <w:r>
        <w:t>) )</w:t>
      </w:r>
      <w:proofErr w:type="gramEnd"/>
      <w:r>
        <w:t>, there may be an impact on probability of false alarm (PFA) and/or probability of miss-detection (</w:t>
      </w:r>
      <w:proofErr w:type="spellStart"/>
      <w:r>
        <w:t>Pmis</w:t>
      </w:r>
      <w:proofErr w:type="spellEnd"/>
      <w:r>
        <w:t xml:space="preserve">) when UE has to monitor legacy </w:t>
      </w:r>
      <w:r w:rsidR="003B5066">
        <w:t>M</w:t>
      </w:r>
      <w:r>
        <w:t xml:space="preserve">WUS or both legacy and UE-group </w:t>
      </w:r>
      <w:r w:rsidR="003B5066">
        <w:t>M</w:t>
      </w:r>
      <w:r>
        <w:t>WUS.</w:t>
      </w:r>
    </w:p>
    <w:p w14:paraId="47532740" w14:textId="078F7E08" w:rsidR="00E314E3" w:rsidRPr="00114CF3" w:rsidRDefault="00E314E3" w:rsidP="00E314E3">
      <w:pPr>
        <w:rPr>
          <w:b/>
        </w:rPr>
      </w:pPr>
      <w:r w:rsidRPr="00114CF3">
        <w:rPr>
          <w:b/>
        </w:rPr>
        <w:t xml:space="preserve">Observation </w:t>
      </w:r>
      <w:r w:rsidR="000217A0">
        <w:rPr>
          <w:b/>
        </w:rPr>
        <w:t>3</w:t>
      </w:r>
      <w:r w:rsidRPr="00114CF3">
        <w:rPr>
          <w:b/>
        </w:rPr>
        <w:t xml:space="preserve">. R16 UE needs to monitor at least two types of </w:t>
      </w:r>
      <w:r w:rsidR="003B5066">
        <w:rPr>
          <w:b/>
        </w:rPr>
        <w:t>M</w:t>
      </w:r>
      <w:r w:rsidRPr="00114CF3">
        <w:rPr>
          <w:b/>
        </w:rPr>
        <w:t xml:space="preserve">WUS: legacy (or common) </w:t>
      </w:r>
      <w:r w:rsidR="003B5066">
        <w:rPr>
          <w:b/>
        </w:rPr>
        <w:t>M</w:t>
      </w:r>
      <w:r w:rsidRPr="00114CF3">
        <w:rPr>
          <w:b/>
        </w:rPr>
        <w:t xml:space="preserve">WUS and UE-group </w:t>
      </w:r>
      <w:r w:rsidR="003B5066">
        <w:rPr>
          <w:b/>
        </w:rPr>
        <w:t>M</w:t>
      </w:r>
      <w:r w:rsidRPr="00114CF3">
        <w:rPr>
          <w:b/>
        </w:rPr>
        <w:t xml:space="preserve">WUS. Depending on their multiplexing scheme, there may be an impact on PFA </w:t>
      </w:r>
      <w:r>
        <w:rPr>
          <w:b/>
        </w:rPr>
        <w:t>and/</w:t>
      </w:r>
      <w:r w:rsidRPr="00114CF3">
        <w:rPr>
          <w:b/>
        </w:rPr>
        <w:t xml:space="preserve">or </w:t>
      </w:r>
      <w:proofErr w:type="spellStart"/>
      <w:r w:rsidRPr="00114CF3">
        <w:rPr>
          <w:b/>
        </w:rPr>
        <w:t>Pmis</w:t>
      </w:r>
      <w:proofErr w:type="spellEnd"/>
      <w:r w:rsidRPr="00114CF3">
        <w:rPr>
          <w:b/>
        </w:rPr>
        <w:t xml:space="preserve"> when UE </w:t>
      </w:r>
      <w:proofErr w:type="gramStart"/>
      <w:r w:rsidRPr="00114CF3">
        <w:rPr>
          <w:b/>
        </w:rPr>
        <w:t>has to</w:t>
      </w:r>
      <w:proofErr w:type="gramEnd"/>
      <w:r w:rsidRPr="00114CF3">
        <w:rPr>
          <w:b/>
        </w:rPr>
        <w:t xml:space="preserve"> monitor common or both common and UE-group based </w:t>
      </w:r>
      <w:r w:rsidR="003B5066">
        <w:rPr>
          <w:b/>
        </w:rPr>
        <w:t>M</w:t>
      </w:r>
      <w:r w:rsidRPr="00114CF3">
        <w:rPr>
          <w:b/>
        </w:rPr>
        <w:t>WUS.</w:t>
      </w:r>
    </w:p>
    <w:p w14:paraId="6DE9370A" w14:textId="20F16D33" w:rsidR="00E314E3" w:rsidRDefault="00C10EE8" w:rsidP="00422982">
      <w:r>
        <w:t>Current MWUS requirements in 36.133 indicate the minimum number of repetitions (subframes) for MWUS in normal and enhanced coverage for 1Tx and 2Tx in different DRX cycles. For R16, it is necessary to define these requirements for UE-group MWUS.</w:t>
      </w:r>
    </w:p>
    <w:p w14:paraId="3714C8D0" w14:textId="5304FDBC" w:rsidR="00C10EE8" w:rsidRDefault="00C10EE8" w:rsidP="00C10EE8">
      <w:pPr>
        <w:rPr>
          <w:b/>
        </w:rPr>
      </w:pPr>
      <w:r w:rsidRPr="00C10EE8">
        <w:rPr>
          <w:b/>
        </w:rPr>
        <w:t>Proposal 3.</w:t>
      </w:r>
      <w:r>
        <w:t xml:space="preserve"> </w:t>
      </w:r>
      <w:r w:rsidRPr="002A6CE5">
        <w:rPr>
          <w:b/>
        </w:rPr>
        <w:t>For R16, at least similar requirements (</w:t>
      </w:r>
      <w:r>
        <w:rPr>
          <w:b/>
        </w:rPr>
        <w:t>M</w:t>
      </w:r>
      <w:r w:rsidRPr="002A6CE5">
        <w:rPr>
          <w:b/>
        </w:rPr>
        <w:t xml:space="preserve">WUS minimum number of repetitions) need to be defined for UE-group </w:t>
      </w:r>
      <w:r>
        <w:rPr>
          <w:b/>
        </w:rPr>
        <w:t>M</w:t>
      </w:r>
      <w:r w:rsidRPr="002A6CE5">
        <w:rPr>
          <w:b/>
        </w:rPr>
        <w:t xml:space="preserve">WUS. </w:t>
      </w:r>
    </w:p>
    <w:p w14:paraId="68F6FF03" w14:textId="7969C567" w:rsidR="00C10EE8" w:rsidRDefault="00FB5881" w:rsidP="00FA1C12">
      <w:pPr>
        <w:pStyle w:val="Heading1"/>
      </w:pPr>
      <w:r>
        <w:t>Improved UL transmission efficiency and/or UE power consumption</w:t>
      </w:r>
    </w:p>
    <w:p w14:paraId="69C6FE4C" w14:textId="499FA5C0" w:rsidR="00FB5881" w:rsidRDefault="00FB5881" w:rsidP="00FB5881">
      <w:pPr>
        <w:rPr>
          <w:b/>
          <w:i/>
          <w:sz w:val="24"/>
        </w:rPr>
      </w:pPr>
      <w:r>
        <w:rPr>
          <w:b/>
          <w:i/>
          <w:sz w:val="24"/>
        </w:rPr>
        <w:t>Support for transmission in preconfigured resources:</w:t>
      </w:r>
    </w:p>
    <w:p w14:paraId="20DEFD09" w14:textId="77777777" w:rsidR="00B63D13" w:rsidRDefault="00B63D13" w:rsidP="00B63D13">
      <w:r>
        <w:t>Preconfigured uplink resources (PUR) for grant-free transmission of data is being discussed in RAN1 as a method for improving UL transmission efficiency and/or UE power consumption. So far, the effort has been on idle mode only. Different modes of resource allocation in PUR is under consideration:</w:t>
      </w:r>
    </w:p>
    <w:p w14:paraId="259E01BC" w14:textId="77CC8BDB" w:rsidR="00B63D13" w:rsidRPr="00F82FF2" w:rsidRDefault="00B63D13" w:rsidP="00B63D13">
      <w:pPr>
        <w:pStyle w:val="ListParagraph"/>
        <w:numPr>
          <w:ilvl w:val="0"/>
          <w:numId w:val="17"/>
        </w:numPr>
        <w:rPr>
          <w:sz w:val="20"/>
        </w:rPr>
      </w:pPr>
      <w:r w:rsidRPr="00F82FF2">
        <w:rPr>
          <w:sz w:val="20"/>
        </w:rPr>
        <w:t>Dedicated PUR: PUSCH resource in time-frequency used by a single UE; contention-free</w:t>
      </w:r>
    </w:p>
    <w:p w14:paraId="39B55D5E" w14:textId="7D1E509C" w:rsidR="00B63D13" w:rsidRPr="00F82FF2" w:rsidRDefault="00B63D13" w:rsidP="00B63D13">
      <w:pPr>
        <w:pStyle w:val="ListParagraph"/>
        <w:numPr>
          <w:ilvl w:val="0"/>
          <w:numId w:val="17"/>
        </w:numPr>
        <w:rPr>
          <w:sz w:val="20"/>
        </w:rPr>
      </w:pPr>
      <w:r w:rsidRPr="00F82FF2">
        <w:rPr>
          <w:sz w:val="20"/>
        </w:rPr>
        <w:t>Contention-free shared (CFS) PUR: PUSCH resource in time-frequency simultaneously used by more than one UE; contention-free</w:t>
      </w:r>
    </w:p>
    <w:p w14:paraId="7DCBB157" w14:textId="1EC3BE41" w:rsidR="00B63D13" w:rsidRPr="00F82FF2" w:rsidRDefault="00B63D13" w:rsidP="00B63D13">
      <w:pPr>
        <w:pStyle w:val="ListParagraph"/>
        <w:numPr>
          <w:ilvl w:val="0"/>
          <w:numId w:val="17"/>
        </w:numPr>
        <w:rPr>
          <w:sz w:val="20"/>
        </w:rPr>
      </w:pPr>
      <w:r w:rsidRPr="00F82FF2">
        <w:rPr>
          <w:sz w:val="20"/>
        </w:rPr>
        <w:lastRenderedPageBreak/>
        <w:t>Contention-based shared (CBS) PUR</w:t>
      </w:r>
      <w:r>
        <w:rPr>
          <w:sz w:val="20"/>
        </w:rPr>
        <w:t>:</w:t>
      </w:r>
      <w:r w:rsidRPr="00F82FF2">
        <w:rPr>
          <w:sz w:val="20"/>
        </w:rPr>
        <w:t xml:space="preserve"> PU</w:t>
      </w:r>
      <w:r>
        <w:rPr>
          <w:sz w:val="20"/>
        </w:rPr>
        <w:t>S</w:t>
      </w:r>
      <w:r w:rsidRPr="00F82FF2">
        <w:rPr>
          <w:sz w:val="20"/>
        </w:rPr>
        <w:t>CH resource in time-frequency simultaneously used by more than one UE; may require contention resolution</w:t>
      </w:r>
    </w:p>
    <w:p w14:paraId="0CA68055" w14:textId="1C9BFF06" w:rsidR="00FB5881" w:rsidRDefault="00FB5881" w:rsidP="00FB5881"/>
    <w:p w14:paraId="2793481F" w14:textId="129E1D9A" w:rsidR="00147131" w:rsidRDefault="00147131" w:rsidP="00FB5881">
      <w:r>
        <w:t>The agreements so far are [8]:</w:t>
      </w:r>
    </w:p>
    <w:p w14:paraId="1AA6395F" w14:textId="77777777" w:rsidR="00147131" w:rsidRPr="00147131" w:rsidRDefault="00147131" w:rsidP="00147131">
      <w:pPr>
        <w:pStyle w:val="ListParagraph"/>
        <w:numPr>
          <w:ilvl w:val="0"/>
          <w:numId w:val="33"/>
        </w:numPr>
        <w:rPr>
          <w:sz w:val="20"/>
          <w:szCs w:val="20"/>
          <w:lang w:val="en-GB"/>
        </w:rPr>
      </w:pPr>
      <w:r w:rsidRPr="00147131">
        <w:rPr>
          <w:sz w:val="20"/>
          <w:szCs w:val="20"/>
        </w:rPr>
        <w:t>For transmission in preconfigured UL resources, the UE may use the latest TA of which its validity can be confirmed</w:t>
      </w:r>
    </w:p>
    <w:p w14:paraId="56E26207" w14:textId="6F72139E" w:rsidR="00147131" w:rsidRPr="00147131" w:rsidRDefault="00147131" w:rsidP="00147131">
      <w:pPr>
        <w:pStyle w:val="ListParagraph"/>
        <w:numPr>
          <w:ilvl w:val="0"/>
          <w:numId w:val="33"/>
        </w:numPr>
        <w:rPr>
          <w:sz w:val="20"/>
          <w:szCs w:val="20"/>
        </w:rPr>
      </w:pPr>
      <w:r w:rsidRPr="00147131">
        <w:rPr>
          <w:rFonts w:cs="Arial"/>
          <w:sz w:val="20"/>
          <w:szCs w:val="20"/>
        </w:rPr>
        <w:t>In IDLE mode, HARQ is supported for transmission in dedicated PUR</w:t>
      </w:r>
    </w:p>
    <w:p w14:paraId="0667926F" w14:textId="79ABD704" w:rsidR="00147131" w:rsidRPr="00147131" w:rsidRDefault="00147131" w:rsidP="00147131">
      <w:pPr>
        <w:pStyle w:val="ListParagraph"/>
        <w:numPr>
          <w:ilvl w:val="0"/>
          <w:numId w:val="33"/>
        </w:numPr>
        <w:rPr>
          <w:sz w:val="20"/>
          <w:szCs w:val="20"/>
        </w:rPr>
      </w:pPr>
      <w:r w:rsidRPr="00147131">
        <w:rPr>
          <w:sz w:val="20"/>
          <w:szCs w:val="20"/>
          <w:lang w:eastAsia="zh-CN"/>
        </w:rPr>
        <w:t>In idle mode, dedicated PUR is supported</w:t>
      </w:r>
    </w:p>
    <w:p w14:paraId="621BD97C" w14:textId="77777777" w:rsidR="00147131" w:rsidRPr="00147131" w:rsidRDefault="00147131" w:rsidP="00147131">
      <w:pPr>
        <w:pStyle w:val="ListParagraph"/>
        <w:numPr>
          <w:ilvl w:val="0"/>
          <w:numId w:val="33"/>
        </w:numPr>
        <w:rPr>
          <w:rFonts w:cs="Arial"/>
          <w:sz w:val="20"/>
          <w:szCs w:val="20"/>
          <w:lang w:val="en-GB"/>
        </w:rPr>
      </w:pPr>
      <w:r w:rsidRPr="00147131">
        <w:rPr>
          <w:rFonts w:cs="Arial"/>
          <w:sz w:val="20"/>
          <w:szCs w:val="20"/>
        </w:rPr>
        <w:t>For UL transmission in preconfigured resource, fallback mechanism to RACH/EDT procedures is supported.</w:t>
      </w:r>
    </w:p>
    <w:p w14:paraId="76CF2C35" w14:textId="77777777" w:rsidR="00147131" w:rsidRPr="00147131" w:rsidRDefault="00147131" w:rsidP="00147131">
      <w:pPr>
        <w:pStyle w:val="ListParagraph"/>
        <w:numPr>
          <w:ilvl w:val="0"/>
          <w:numId w:val="33"/>
        </w:numPr>
        <w:rPr>
          <w:sz w:val="20"/>
          <w:szCs w:val="20"/>
          <w:lang w:val="en-GB" w:eastAsia="x-none"/>
        </w:rPr>
      </w:pPr>
      <w:r w:rsidRPr="00147131">
        <w:rPr>
          <w:sz w:val="20"/>
          <w:szCs w:val="20"/>
          <w:lang w:eastAsia="zh-CN"/>
        </w:rPr>
        <w:t>For transmission in preconfigured UL resources</w:t>
      </w:r>
      <w:r w:rsidRPr="00147131">
        <w:rPr>
          <w:sz w:val="20"/>
          <w:szCs w:val="20"/>
        </w:rPr>
        <w:t>,</w:t>
      </w:r>
      <w:r w:rsidRPr="00147131">
        <w:rPr>
          <w:sz w:val="20"/>
          <w:szCs w:val="20"/>
          <w:lang w:eastAsia="zh-CN"/>
        </w:rPr>
        <w:t xml:space="preserve"> </w:t>
      </w:r>
      <w:r w:rsidRPr="00147131">
        <w:rPr>
          <w:sz w:val="20"/>
          <w:szCs w:val="20"/>
        </w:rPr>
        <w:t>a</w:t>
      </w:r>
      <w:r w:rsidRPr="00147131">
        <w:rPr>
          <w:sz w:val="20"/>
          <w:szCs w:val="20"/>
          <w:lang w:eastAsia="x-none"/>
        </w:rPr>
        <w:t>n RRC idle UE may use the latest TA that passed the validation criteria</w:t>
      </w:r>
    </w:p>
    <w:p w14:paraId="04DFF268" w14:textId="113AE488" w:rsidR="00147131" w:rsidRPr="00147131" w:rsidRDefault="00147131" w:rsidP="00147131">
      <w:pPr>
        <w:pStyle w:val="ListParagraph"/>
        <w:numPr>
          <w:ilvl w:val="0"/>
          <w:numId w:val="33"/>
        </w:numPr>
        <w:rPr>
          <w:sz w:val="20"/>
          <w:szCs w:val="20"/>
          <w:lang w:eastAsia="x-none"/>
        </w:rPr>
      </w:pPr>
      <w:r w:rsidRPr="00147131">
        <w:rPr>
          <w:sz w:val="20"/>
          <w:szCs w:val="20"/>
        </w:rPr>
        <w:t>Pre-configured UL resources for transmission of data are indicated by RRC signaling. At least UE-specific RRC signaling is supported.</w:t>
      </w:r>
    </w:p>
    <w:p w14:paraId="7EE00B2D" w14:textId="77777777" w:rsidR="00147131" w:rsidRPr="00147131" w:rsidRDefault="00147131" w:rsidP="00147131">
      <w:pPr>
        <w:pStyle w:val="PropObs"/>
        <w:numPr>
          <w:ilvl w:val="0"/>
          <w:numId w:val="33"/>
        </w:numPr>
        <w:rPr>
          <w:rFonts w:ascii="Times New Roman" w:hAnsi="Times New Roman"/>
          <w:b w:val="0"/>
        </w:rPr>
      </w:pPr>
      <w:r w:rsidRPr="00147131">
        <w:rPr>
          <w:rFonts w:ascii="Times New Roman" w:hAnsi="Times New Roman"/>
          <w:b w:val="0"/>
        </w:rPr>
        <w:t xml:space="preserve">If multi-TB grant is not enabled, a dedicated PUR allocation is associated to only a single TB and single HARQ process </w:t>
      </w:r>
    </w:p>
    <w:p w14:paraId="0E709A43" w14:textId="0C2EEA52" w:rsidR="00147131" w:rsidRPr="00147131" w:rsidRDefault="00147131" w:rsidP="00147131">
      <w:pPr>
        <w:pStyle w:val="PropObs"/>
        <w:numPr>
          <w:ilvl w:val="0"/>
          <w:numId w:val="33"/>
        </w:numPr>
        <w:rPr>
          <w:rFonts w:ascii="Times New Roman" w:hAnsi="Times New Roman"/>
          <w:b w:val="0"/>
        </w:rPr>
      </w:pPr>
      <w:r w:rsidRPr="00147131">
        <w:rPr>
          <w:rFonts w:ascii="Times New Roman" w:hAnsi="Times New Roman"/>
          <w:b w:val="0"/>
        </w:rPr>
        <w:t>In idle mode, at least the following TA validation attributes are supported:</w:t>
      </w:r>
    </w:p>
    <w:p w14:paraId="10DAAEFF" w14:textId="77777777" w:rsidR="00147131" w:rsidRPr="00147131" w:rsidRDefault="00147131" w:rsidP="00147131">
      <w:pPr>
        <w:numPr>
          <w:ilvl w:val="1"/>
          <w:numId w:val="33"/>
        </w:numPr>
        <w:spacing w:after="0"/>
        <w:rPr>
          <w:rFonts w:ascii="Times" w:hAnsi="Times"/>
          <w:lang w:val="en-US" w:eastAsia="x-none"/>
        </w:rPr>
      </w:pPr>
      <w:r w:rsidRPr="00147131">
        <w:rPr>
          <w:lang w:val="en-US" w:eastAsia="x-none"/>
        </w:rPr>
        <w:t>Serving cell changes (serving cell refers the cell that the UE is camping on)</w:t>
      </w:r>
    </w:p>
    <w:p w14:paraId="30781805" w14:textId="77777777" w:rsidR="00147131" w:rsidRPr="00147131" w:rsidRDefault="00147131" w:rsidP="00147131">
      <w:pPr>
        <w:numPr>
          <w:ilvl w:val="1"/>
          <w:numId w:val="33"/>
        </w:numPr>
        <w:spacing w:after="0"/>
        <w:rPr>
          <w:lang w:val="en-US" w:eastAsia="x-none"/>
        </w:rPr>
      </w:pPr>
      <w:r w:rsidRPr="00147131">
        <w:rPr>
          <w:lang w:val="en-US" w:eastAsia="x-none"/>
        </w:rPr>
        <w:t xml:space="preserve">Time Alignment Timer for idle mode </w:t>
      </w:r>
    </w:p>
    <w:p w14:paraId="0A3E582E" w14:textId="77777777" w:rsidR="00147131" w:rsidRPr="00147131" w:rsidRDefault="00147131" w:rsidP="00147131">
      <w:pPr>
        <w:numPr>
          <w:ilvl w:val="1"/>
          <w:numId w:val="33"/>
        </w:numPr>
        <w:spacing w:after="0"/>
        <w:rPr>
          <w:lang w:val="en-US" w:eastAsia="x-none"/>
        </w:rPr>
      </w:pPr>
      <w:r w:rsidRPr="00147131">
        <w:rPr>
          <w:lang w:val="en-US" w:eastAsia="x-none"/>
        </w:rPr>
        <w:t>Serving cell RSRP changes (serving cell refers the cell that the UE is camping on)</w:t>
      </w:r>
    </w:p>
    <w:p w14:paraId="5EF5E289" w14:textId="190CEEDF" w:rsidR="006D79AB" w:rsidRDefault="00147131" w:rsidP="006D79AB">
      <w:pPr>
        <w:numPr>
          <w:ilvl w:val="2"/>
          <w:numId w:val="33"/>
        </w:numPr>
        <w:spacing w:after="0"/>
        <w:rPr>
          <w:lang w:val="en-US" w:eastAsia="x-none"/>
        </w:rPr>
      </w:pPr>
      <w:r w:rsidRPr="00147131">
        <w:rPr>
          <w:lang w:val="en-US" w:eastAsia="x-none"/>
        </w:rPr>
        <w:t>Based on RSRP measurement definition in existing Rel-15 TS36.214</w:t>
      </w:r>
    </w:p>
    <w:p w14:paraId="076CAF1A" w14:textId="77777777" w:rsidR="006D79AB" w:rsidRDefault="006D79AB" w:rsidP="006D79AB">
      <w:pPr>
        <w:pStyle w:val="PropObs"/>
        <w:numPr>
          <w:ilvl w:val="0"/>
          <w:numId w:val="33"/>
        </w:numPr>
        <w:rPr>
          <w:rFonts w:ascii="Times New Roman" w:eastAsia="Times New Roman" w:hAnsi="Times New Roman"/>
          <w:b w:val="0"/>
          <w:szCs w:val="24"/>
          <w:lang w:val="en-US" w:eastAsia="en-US"/>
        </w:rPr>
      </w:pPr>
      <w:r>
        <w:rPr>
          <w:rFonts w:ascii="Times New Roman" w:eastAsia="Times New Roman" w:hAnsi="Times New Roman"/>
          <w:b w:val="0"/>
          <w:szCs w:val="24"/>
          <w:lang w:val="en-US" w:eastAsia="en-US"/>
        </w:rPr>
        <w:t>The UE can be configured to use at least these TA validation attributes:</w:t>
      </w:r>
    </w:p>
    <w:p w14:paraId="6F862985" w14:textId="77777777" w:rsidR="006D79AB" w:rsidRDefault="006D79AB" w:rsidP="006D79AB">
      <w:pPr>
        <w:numPr>
          <w:ilvl w:val="1"/>
          <w:numId w:val="33"/>
        </w:numPr>
        <w:spacing w:after="0"/>
        <w:rPr>
          <w:rFonts w:eastAsia="Batang"/>
          <w:szCs w:val="24"/>
          <w:lang w:val="en-US" w:eastAsia="x-none"/>
        </w:rPr>
      </w:pPr>
      <w:r>
        <w:rPr>
          <w:lang w:val="en-US" w:eastAsia="x-none"/>
        </w:rPr>
        <w:t xml:space="preserve">Time Alignment Timer for idle mode </w:t>
      </w:r>
    </w:p>
    <w:p w14:paraId="08F3D28C" w14:textId="77777777" w:rsidR="006D79AB" w:rsidRDefault="006D79AB" w:rsidP="006D79AB">
      <w:pPr>
        <w:numPr>
          <w:ilvl w:val="1"/>
          <w:numId w:val="33"/>
        </w:numPr>
        <w:spacing w:after="0"/>
        <w:rPr>
          <w:lang w:val="en-US" w:eastAsia="x-none"/>
        </w:rPr>
      </w:pPr>
      <w:r>
        <w:rPr>
          <w:lang w:val="en-US" w:eastAsia="x-none"/>
        </w:rPr>
        <w:t xml:space="preserve">Serving cell RSRP changes </w:t>
      </w:r>
    </w:p>
    <w:p w14:paraId="20349F0E" w14:textId="4DD34576" w:rsidR="006D79AB" w:rsidRPr="006D79AB" w:rsidRDefault="006D79AB" w:rsidP="006D79AB">
      <w:pPr>
        <w:numPr>
          <w:ilvl w:val="1"/>
          <w:numId w:val="33"/>
        </w:numPr>
        <w:spacing w:after="0"/>
        <w:rPr>
          <w:lang w:val="en-US" w:eastAsia="x-none"/>
        </w:rPr>
      </w:pPr>
      <w:r>
        <w:rPr>
          <w:lang w:val="en-US" w:eastAsia="x-none"/>
        </w:rPr>
        <w:t>Note: the configuration shall support disabling of the TA validation attributes</w:t>
      </w:r>
    </w:p>
    <w:p w14:paraId="12CC3D88" w14:textId="77777777" w:rsidR="00147131" w:rsidRPr="00147131" w:rsidRDefault="00147131" w:rsidP="00147131">
      <w:pPr>
        <w:pStyle w:val="PropObs"/>
        <w:numPr>
          <w:ilvl w:val="0"/>
          <w:numId w:val="33"/>
        </w:numPr>
        <w:rPr>
          <w:rFonts w:ascii="Times New Roman" w:hAnsi="Times New Roman"/>
          <w:b w:val="0"/>
        </w:rPr>
      </w:pPr>
      <w:r w:rsidRPr="00147131">
        <w:rPr>
          <w:rFonts w:ascii="Times New Roman" w:hAnsi="Times New Roman"/>
          <w:b w:val="0"/>
        </w:rPr>
        <w:t xml:space="preserve">For dedicated PUR in idle mode, upon successful decoding by </w:t>
      </w:r>
      <w:proofErr w:type="spellStart"/>
      <w:r w:rsidRPr="00147131">
        <w:rPr>
          <w:rFonts w:ascii="Times New Roman" w:hAnsi="Times New Roman"/>
          <w:b w:val="0"/>
        </w:rPr>
        <w:t>eNB</w:t>
      </w:r>
      <w:proofErr w:type="spellEnd"/>
      <w:r w:rsidRPr="00147131">
        <w:rPr>
          <w:rFonts w:ascii="Times New Roman" w:hAnsi="Times New Roman"/>
          <w:b w:val="0"/>
        </w:rPr>
        <w:t xml:space="preserve"> of a PUR transmission, the UE can expect an explicit ACK </w:t>
      </w:r>
    </w:p>
    <w:p w14:paraId="7F13B7B1" w14:textId="256E47FB" w:rsidR="00147131" w:rsidRPr="00147131" w:rsidRDefault="00147131" w:rsidP="00147131">
      <w:pPr>
        <w:pStyle w:val="PropObs"/>
        <w:numPr>
          <w:ilvl w:val="0"/>
          <w:numId w:val="33"/>
        </w:numPr>
        <w:rPr>
          <w:rFonts w:ascii="Times New Roman" w:hAnsi="Times New Roman"/>
          <w:b w:val="0"/>
        </w:rPr>
      </w:pPr>
      <w:r w:rsidRPr="00147131">
        <w:rPr>
          <w:rFonts w:ascii="Times New Roman" w:hAnsi="Times New Roman"/>
          <w:b w:val="0"/>
        </w:rPr>
        <w:t xml:space="preserve">For dedicated PUR in idle mode, upon unsuccessful decoding by </w:t>
      </w:r>
      <w:proofErr w:type="spellStart"/>
      <w:r w:rsidRPr="00147131">
        <w:rPr>
          <w:rFonts w:ascii="Times New Roman" w:hAnsi="Times New Roman"/>
          <w:b w:val="0"/>
        </w:rPr>
        <w:t>eNB</w:t>
      </w:r>
      <w:proofErr w:type="spellEnd"/>
      <w:r w:rsidRPr="00147131">
        <w:rPr>
          <w:rFonts w:ascii="Times New Roman" w:hAnsi="Times New Roman"/>
          <w:b w:val="0"/>
        </w:rPr>
        <w:t xml:space="preserve"> of a PUR transmission, the UE can expect</w:t>
      </w:r>
    </w:p>
    <w:p w14:paraId="327B0A7F" w14:textId="77777777" w:rsidR="00147131" w:rsidRPr="00147131" w:rsidRDefault="00147131" w:rsidP="00147131">
      <w:pPr>
        <w:numPr>
          <w:ilvl w:val="1"/>
          <w:numId w:val="33"/>
        </w:numPr>
        <w:spacing w:after="0"/>
        <w:rPr>
          <w:rFonts w:ascii="Times" w:hAnsi="Times"/>
          <w:kern w:val="2"/>
        </w:rPr>
      </w:pPr>
      <w:r w:rsidRPr="00147131">
        <w:rPr>
          <w:kern w:val="2"/>
        </w:rPr>
        <w:t xml:space="preserve">an UL GRANT for retransmission on the MPDCCH, or  </w:t>
      </w:r>
    </w:p>
    <w:p w14:paraId="354E7418" w14:textId="77777777" w:rsidR="00147131" w:rsidRPr="00147131" w:rsidRDefault="00147131" w:rsidP="00147131">
      <w:pPr>
        <w:numPr>
          <w:ilvl w:val="1"/>
          <w:numId w:val="33"/>
        </w:numPr>
        <w:spacing w:after="0"/>
        <w:rPr>
          <w:kern w:val="2"/>
        </w:rPr>
      </w:pPr>
      <w:r w:rsidRPr="00147131">
        <w:rPr>
          <w:kern w:val="2"/>
        </w:rPr>
        <w:t>FFS: a NACK, or</w:t>
      </w:r>
    </w:p>
    <w:p w14:paraId="1DC87AE9" w14:textId="2C503D6F" w:rsidR="00147131" w:rsidRDefault="00147131" w:rsidP="00147131">
      <w:pPr>
        <w:numPr>
          <w:ilvl w:val="1"/>
          <w:numId w:val="33"/>
        </w:numPr>
        <w:spacing w:after="0"/>
        <w:rPr>
          <w:kern w:val="2"/>
        </w:rPr>
      </w:pPr>
      <w:r w:rsidRPr="00147131">
        <w:rPr>
          <w:kern w:val="2"/>
        </w:rPr>
        <w:t xml:space="preserve">FFS: no explicit ACK </w:t>
      </w:r>
    </w:p>
    <w:p w14:paraId="1D518DA3" w14:textId="5CB37689" w:rsidR="004F58EA" w:rsidRDefault="004F58EA" w:rsidP="004F58EA">
      <w:pPr>
        <w:spacing w:after="0"/>
        <w:rPr>
          <w:kern w:val="2"/>
        </w:rPr>
      </w:pPr>
    </w:p>
    <w:p w14:paraId="696E3417" w14:textId="69B4CD45" w:rsidR="005E690D" w:rsidRDefault="004F58EA" w:rsidP="005E690D">
      <w:r>
        <w:t>In our view, RAN4 should define how serving cell RSRP changes would invalidate TA. In defining the serving cell RSRP changes, comparison of the absolute value with a threshold or comparison of change/difference with a threshold can be adopted. The advantage of the later is that it removes any persistent bias in RSRP measurement. Intra-frequency RSRP measurement accuracy requirements are defined in Section 9.1.2</w:t>
      </w:r>
      <w:r w:rsidR="005E690D">
        <w:t>1</w:t>
      </w:r>
      <w:r>
        <w:t xml:space="preserve"> of 36.133 where </w:t>
      </w:r>
      <w:r w:rsidR="005E690D">
        <w:t xml:space="preserve">both relative and </w:t>
      </w:r>
      <w:r>
        <w:t xml:space="preserve">absolute accuracy requirements are defined for </w:t>
      </w:r>
      <w:r w:rsidR="005E690D">
        <w:t>CE mode A and B</w:t>
      </w:r>
      <w:r>
        <w:t xml:space="preserve"> in normal and extreme conditions. If serving cell RSRP change is decided to be defined in absolute terms, the </w:t>
      </w:r>
      <w:r w:rsidR="005E690D">
        <w:t xml:space="preserve">absolute accuracy </w:t>
      </w:r>
      <w:r>
        <w:t>requirements in Section 9.1.2</w:t>
      </w:r>
      <w:r w:rsidR="005E690D">
        <w:t>1</w:t>
      </w:r>
      <w:r>
        <w:t xml:space="preserve"> can be used as a starting point. </w:t>
      </w:r>
      <w:r w:rsidR="005E690D">
        <w:t xml:space="preserve">If serving cell RSRP change is decided to be defined in relative terms, the relative accuracy requirements in Section 9.1.21 can be used as a starting point. </w:t>
      </w:r>
    </w:p>
    <w:p w14:paraId="38E46663" w14:textId="29983FB9" w:rsidR="00324C25" w:rsidRPr="00766454" w:rsidRDefault="00324C25" w:rsidP="00324C25">
      <w:pPr>
        <w:rPr>
          <w:b/>
        </w:rPr>
      </w:pPr>
      <w:r w:rsidRPr="00766454">
        <w:rPr>
          <w:b/>
        </w:rPr>
        <w:t>Observation</w:t>
      </w:r>
      <w:r>
        <w:rPr>
          <w:b/>
        </w:rPr>
        <w:t xml:space="preserve"> 4</w:t>
      </w:r>
      <w:r w:rsidRPr="00766454">
        <w:rPr>
          <w:b/>
        </w:rPr>
        <w:t xml:space="preserve">. In idle mode, serving cell RSRP change is supported as an attribute for TA validation. Serving cell RSRP change can be measured in absolute or relative manner. The advantage of differential (relative) RSRP measurement is removal of persistent bias in measurement accuracy. </w:t>
      </w:r>
    </w:p>
    <w:p w14:paraId="2D38AFA5" w14:textId="6A7E12C3" w:rsidR="00324C25" w:rsidRPr="00766454" w:rsidRDefault="00324C25" w:rsidP="00324C25">
      <w:pPr>
        <w:rPr>
          <w:b/>
        </w:rPr>
      </w:pPr>
      <w:r w:rsidRPr="00766454">
        <w:rPr>
          <w:b/>
        </w:rPr>
        <w:t>Proposal</w:t>
      </w:r>
      <w:r>
        <w:rPr>
          <w:b/>
        </w:rPr>
        <w:t xml:space="preserve"> 4</w:t>
      </w:r>
      <w:r w:rsidRPr="00766454">
        <w:rPr>
          <w:b/>
        </w:rPr>
        <w:t>. Serving cell differential (relative) RSRP change to be used for TA validation. Existing requirements in Section 9.1.2</w:t>
      </w:r>
      <w:r w:rsidR="00750AF7">
        <w:rPr>
          <w:b/>
        </w:rPr>
        <w:t>1</w:t>
      </w:r>
      <w:r w:rsidRPr="00766454">
        <w:rPr>
          <w:b/>
        </w:rPr>
        <w:t xml:space="preserve"> of 36.133 for intra-frequency </w:t>
      </w:r>
      <w:r w:rsidR="00750AF7">
        <w:rPr>
          <w:b/>
        </w:rPr>
        <w:t>relative</w:t>
      </w:r>
      <w:r w:rsidRPr="00766454">
        <w:rPr>
          <w:b/>
        </w:rPr>
        <w:t xml:space="preserve"> measurement accuracy may be used as a starting point.  </w:t>
      </w:r>
    </w:p>
    <w:p w14:paraId="3FD1E5C1" w14:textId="5AA28899" w:rsidR="004F58EA" w:rsidRDefault="004F58EA" w:rsidP="004F58EA"/>
    <w:p w14:paraId="6BD75B2E" w14:textId="66A4A7EA" w:rsidR="004F58EA" w:rsidRDefault="0047309A" w:rsidP="0047309A">
      <w:pPr>
        <w:pStyle w:val="Heading1"/>
      </w:pPr>
      <w:r>
        <w:t>Extreme coverage for non-BL UEs</w:t>
      </w:r>
    </w:p>
    <w:p w14:paraId="55CA9865" w14:textId="6DB13F35" w:rsidR="0047309A" w:rsidRDefault="00186681" w:rsidP="0047309A">
      <w:r>
        <w:t>There has not been much discussion on enhancements to idle mode mobility</w:t>
      </w:r>
      <w:r w:rsidR="00082C01">
        <w:t xml:space="preserve"> or 2-Rx antennas and full duplex FDD. Depending on the agreements, RAN4 may need to define new requirements for PDSCH and MPDCCH demodulation performance for 2-Rx since all existing tests assume 1-Rx antenna. Also, ETWS/CMAS in connected mode does not require RAN4 engagement. In the following, we discuss the remaining two topics.</w:t>
      </w:r>
    </w:p>
    <w:p w14:paraId="320D96D8" w14:textId="3E35DFCD" w:rsidR="00082C01" w:rsidRDefault="00082C01" w:rsidP="0047309A">
      <w:pPr>
        <w:rPr>
          <w:b/>
          <w:i/>
          <w:sz w:val="24"/>
        </w:rPr>
      </w:pPr>
      <w:r>
        <w:rPr>
          <w:b/>
          <w:i/>
          <w:sz w:val="24"/>
        </w:rPr>
        <w:t>Dual layer DL reception:</w:t>
      </w:r>
    </w:p>
    <w:p w14:paraId="14590698" w14:textId="56C6E750" w:rsidR="00910F57" w:rsidRDefault="00910F57" w:rsidP="00910F57">
      <w:pPr>
        <w:widowControl w:val="0"/>
        <w:wordWrap w:val="0"/>
        <w:spacing w:after="120"/>
        <w:contextualSpacing/>
        <w:jc w:val="both"/>
        <w:rPr>
          <w:rFonts w:eastAsia="Batang"/>
          <w:snapToGrid w:val="0"/>
          <w:kern w:val="2"/>
          <w:lang w:val="en-US" w:eastAsia="ko-KR"/>
        </w:rPr>
      </w:pPr>
      <w:r>
        <w:rPr>
          <w:rFonts w:eastAsia="Batang"/>
          <w:snapToGrid w:val="0"/>
          <w:kern w:val="2"/>
          <w:lang w:eastAsia="ko-KR"/>
        </w:rPr>
        <w:lastRenderedPageBreak/>
        <w:t>In normal coverage, capacity increases linearly with the number of transmission layers and the dual layer transmission c</w:t>
      </w:r>
      <w:r w:rsidR="00B722CB">
        <w:rPr>
          <w:rFonts w:eastAsia="Batang"/>
          <w:snapToGrid w:val="0"/>
          <w:kern w:val="2"/>
          <w:lang w:eastAsia="ko-KR"/>
        </w:rPr>
        <w:t>an</w:t>
      </w:r>
      <w:r>
        <w:rPr>
          <w:rFonts w:eastAsia="Batang"/>
          <w:snapToGrid w:val="0"/>
          <w:kern w:val="2"/>
          <w:lang w:eastAsia="ko-KR"/>
        </w:rPr>
        <w:t xml:space="preserve"> achieve </w:t>
      </w:r>
      <w:r w:rsidR="00B722CB">
        <w:rPr>
          <w:rFonts w:eastAsia="Batang"/>
          <w:snapToGrid w:val="0"/>
          <w:kern w:val="2"/>
          <w:lang w:eastAsia="ko-KR"/>
        </w:rPr>
        <w:t>higher</w:t>
      </w:r>
      <w:r>
        <w:rPr>
          <w:rFonts w:eastAsia="Batang"/>
          <w:snapToGrid w:val="0"/>
          <w:kern w:val="2"/>
          <w:lang w:eastAsia="ko-KR"/>
        </w:rPr>
        <w:t xml:space="preserve"> throughput compared to single layer transmission. However, for the non-BL UE operating in the extended coverage, the throughput </w:t>
      </w:r>
      <w:proofErr w:type="gramStart"/>
      <w:r>
        <w:rPr>
          <w:rFonts w:eastAsia="Batang"/>
          <w:snapToGrid w:val="0"/>
          <w:kern w:val="2"/>
          <w:lang w:eastAsia="ko-KR"/>
        </w:rPr>
        <w:t>gain</w:t>
      </w:r>
      <w:proofErr w:type="gramEnd"/>
      <w:r>
        <w:rPr>
          <w:rFonts w:eastAsia="Batang"/>
          <w:snapToGrid w:val="0"/>
          <w:kern w:val="2"/>
          <w:lang w:eastAsia="ko-KR"/>
        </w:rPr>
        <w:t xml:space="preserve"> by using dual layer are not clear due to the relatively low SNR region</w:t>
      </w:r>
      <w:r w:rsidR="00B722CB">
        <w:rPr>
          <w:rFonts w:eastAsia="Batang"/>
          <w:snapToGrid w:val="0"/>
          <w:kern w:val="2"/>
          <w:lang w:eastAsia="ko-KR"/>
        </w:rPr>
        <w:t xml:space="preserve"> since</w:t>
      </w:r>
      <w:r>
        <w:rPr>
          <w:rFonts w:eastAsia="Batang"/>
          <w:snapToGrid w:val="0"/>
          <w:kern w:val="2"/>
          <w:lang w:eastAsia="ko-KR"/>
        </w:rPr>
        <w:t xml:space="preserve"> a low rank of the channel matrix is typically observed for the low SNR and the possibility for dual layer transmission is very low. In other words, enabling dual layer transmission in the low SNR region requires </w:t>
      </w:r>
      <w:r w:rsidR="00B722CB">
        <w:rPr>
          <w:rFonts w:eastAsia="Batang"/>
          <w:snapToGrid w:val="0"/>
          <w:kern w:val="2"/>
          <w:lang w:eastAsia="ko-KR"/>
        </w:rPr>
        <w:t>configuring</w:t>
      </w:r>
      <w:r>
        <w:rPr>
          <w:rFonts w:eastAsia="Batang"/>
          <w:snapToGrid w:val="0"/>
          <w:kern w:val="2"/>
          <w:lang w:eastAsia="ko-KR"/>
        </w:rPr>
        <w:t xml:space="preserve"> a larger number of repetitions, which in turn decreases the throughput. </w:t>
      </w:r>
    </w:p>
    <w:p w14:paraId="33D7A19A" w14:textId="75F90065" w:rsidR="00910F57" w:rsidRDefault="00910F57" w:rsidP="0047309A"/>
    <w:p w14:paraId="5D596BFA" w14:textId="5A6B80BB" w:rsidR="00395354" w:rsidRDefault="00395354" w:rsidP="00395354">
      <w:pPr>
        <w:widowControl w:val="0"/>
        <w:wordWrap w:val="0"/>
        <w:spacing w:after="120"/>
        <w:contextualSpacing/>
        <w:jc w:val="both"/>
        <w:rPr>
          <w:rFonts w:eastAsia="Batang"/>
          <w:snapToGrid w:val="0"/>
          <w:kern w:val="2"/>
          <w:lang w:val="en-US" w:eastAsia="ko-KR"/>
        </w:rPr>
      </w:pPr>
      <w:r>
        <w:rPr>
          <w:rFonts w:eastAsia="Batang"/>
          <w:snapToGrid w:val="0"/>
          <w:kern w:val="2"/>
          <w:lang w:eastAsia="ko-KR"/>
        </w:rPr>
        <w:t xml:space="preserve">Hence, support of dual layer reception for the non-BL UE operating in extended coverage needs to be studied and proven. To evaluate the performance benefit of dual layer in the low SNR region, link level simulations were conducted in [9]. </w:t>
      </w:r>
      <w:r w:rsidR="009A605F">
        <w:rPr>
          <w:rFonts w:eastAsia="Batang"/>
          <w:snapToGrid w:val="0"/>
          <w:kern w:val="2"/>
          <w:lang w:eastAsia="ko-KR"/>
        </w:rPr>
        <w:t>A</w:t>
      </w:r>
      <w:r>
        <w:rPr>
          <w:rFonts w:eastAsia="Batang"/>
          <w:snapToGrid w:val="0"/>
          <w:kern w:val="2"/>
          <w:lang w:eastAsia="ko-KR"/>
        </w:rPr>
        <w:t xml:space="preserve"> single UE with a fixed rank of 1 or 2 with different number of repetitions</w:t>
      </w:r>
      <w:r w:rsidR="009A605F">
        <w:rPr>
          <w:rFonts w:eastAsia="Batang"/>
          <w:snapToGrid w:val="0"/>
          <w:kern w:val="2"/>
          <w:lang w:eastAsia="ko-KR"/>
        </w:rPr>
        <w:t xml:space="preserve"> was simulated</w:t>
      </w:r>
      <w:r>
        <w:rPr>
          <w:rFonts w:eastAsia="Batang"/>
          <w:snapToGrid w:val="0"/>
          <w:kern w:val="2"/>
          <w:lang w:eastAsia="ko-KR"/>
        </w:rPr>
        <w:t>. Wideband PMI with periodicity of 10ms is fed</w:t>
      </w:r>
      <w:r w:rsidR="009A605F">
        <w:rPr>
          <w:rFonts w:eastAsia="Batang"/>
          <w:snapToGrid w:val="0"/>
          <w:kern w:val="2"/>
          <w:lang w:eastAsia="ko-KR"/>
        </w:rPr>
        <w:t xml:space="preserve"> </w:t>
      </w:r>
      <w:r>
        <w:rPr>
          <w:rFonts w:eastAsia="Batang"/>
          <w:snapToGrid w:val="0"/>
          <w:kern w:val="2"/>
          <w:lang w:eastAsia="ko-KR"/>
        </w:rPr>
        <w:t xml:space="preserve">back by UE used for precoding the PDSCH. From the simulation result show in Figure 1, it is observed that dual layer transmission performs much worse than single layer for the SNR range from -5dB to 0dB, which is aligned with the CE mode A operation. The results further verify </w:t>
      </w:r>
      <w:r w:rsidR="009A605F">
        <w:rPr>
          <w:rFonts w:eastAsia="Batang"/>
          <w:snapToGrid w:val="0"/>
          <w:kern w:val="2"/>
          <w:lang w:eastAsia="ko-KR"/>
        </w:rPr>
        <w:t>our</w:t>
      </w:r>
      <w:r>
        <w:rPr>
          <w:rFonts w:eastAsia="Batang"/>
          <w:snapToGrid w:val="0"/>
          <w:kern w:val="2"/>
          <w:lang w:eastAsia="ko-KR"/>
        </w:rPr>
        <w:t xml:space="preserve"> view that a low channel rank is observed for the low SNR region and in such case</w:t>
      </w:r>
      <w:r w:rsidR="009A605F">
        <w:rPr>
          <w:rFonts w:eastAsia="Batang"/>
          <w:snapToGrid w:val="0"/>
          <w:kern w:val="2"/>
          <w:lang w:eastAsia="ko-KR"/>
        </w:rPr>
        <w:t>,</w:t>
      </w:r>
      <w:r>
        <w:rPr>
          <w:rFonts w:eastAsia="Batang"/>
          <w:snapToGrid w:val="0"/>
          <w:kern w:val="2"/>
          <w:lang w:eastAsia="ko-KR"/>
        </w:rPr>
        <w:t xml:space="preserve"> it is better to use more RX antenna to achieve diversity gains instead of increasing the number of data streams. </w:t>
      </w:r>
    </w:p>
    <w:p w14:paraId="6C911148" w14:textId="77777777" w:rsidR="00395354" w:rsidRPr="00910F57" w:rsidRDefault="00395354" w:rsidP="0047309A"/>
    <w:p w14:paraId="231E953B" w14:textId="77777777" w:rsidR="00E172B8" w:rsidRDefault="00E172B8" w:rsidP="00E172B8">
      <w:pPr>
        <w:widowControl w:val="0"/>
        <w:wordWrap w:val="0"/>
        <w:spacing w:after="120"/>
        <w:contextualSpacing/>
        <w:jc w:val="both"/>
        <w:rPr>
          <w:rFonts w:eastAsia="Batang"/>
          <w:snapToGrid w:val="0"/>
          <w:kern w:val="2"/>
          <w:lang w:val="en-US"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172B8" w14:paraId="37DD0965" w14:textId="77777777" w:rsidTr="00E172B8">
        <w:tc>
          <w:tcPr>
            <w:tcW w:w="4814" w:type="dxa"/>
            <w:hideMark/>
          </w:tcPr>
          <w:p w14:paraId="674FC8FB" w14:textId="19758B00" w:rsidR="00E172B8" w:rsidRDefault="00E172B8">
            <w:pPr>
              <w:widowControl w:val="0"/>
              <w:wordWrap w:val="0"/>
              <w:spacing w:after="120"/>
              <w:contextualSpacing/>
              <w:jc w:val="both"/>
              <w:rPr>
                <w:rFonts w:eastAsia="Batang"/>
                <w:snapToGrid w:val="0"/>
                <w:kern w:val="2"/>
                <w:lang w:val="de-DE" w:eastAsia="ko-KR"/>
              </w:rPr>
            </w:pPr>
            <w:r>
              <w:rPr>
                <w:rFonts w:eastAsia="Batang"/>
                <w:noProof/>
                <w:kern w:val="2"/>
                <w:lang w:val="de-DE" w:eastAsia="ko-KR"/>
              </w:rPr>
              <w:drawing>
                <wp:inline distT="0" distB="0" distL="0" distR="0" wp14:anchorId="56E2A9C6" wp14:editId="39D0C72B">
                  <wp:extent cx="3131185" cy="23806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1185" cy="2380615"/>
                          </a:xfrm>
                          <a:prstGeom prst="rect">
                            <a:avLst/>
                          </a:prstGeom>
                          <a:noFill/>
                          <a:ln>
                            <a:noFill/>
                          </a:ln>
                        </pic:spPr>
                      </pic:pic>
                    </a:graphicData>
                  </a:graphic>
                </wp:inline>
              </w:drawing>
            </w:r>
          </w:p>
        </w:tc>
        <w:tc>
          <w:tcPr>
            <w:tcW w:w="4815" w:type="dxa"/>
            <w:hideMark/>
          </w:tcPr>
          <w:p w14:paraId="7ADE2922" w14:textId="388CFA46" w:rsidR="00E172B8" w:rsidRDefault="00E172B8">
            <w:pPr>
              <w:widowControl w:val="0"/>
              <w:wordWrap w:val="0"/>
              <w:spacing w:after="120"/>
              <w:contextualSpacing/>
              <w:jc w:val="both"/>
              <w:rPr>
                <w:rFonts w:eastAsia="Batang"/>
                <w:snapToGrid w:val="0"/>
                <w:kern w:val="2"/>
                <w:lang w:val="de-DE" w:eastAsia="ko-KR"/>
              </w:rPr>
            </w:pPr>
            <w:r>
              <w:rPr>
                <w:rFonts w:eastAsia="Batang"/>
                <w:noProof/>
                <w:kern w:val="2"/>
                <w:lang w:val="de-DE" w:eastAsia="ko-KR"/>
              </w:rPr>
              <w:drawing>
                <wp:inline distT="0" distB="0" distL="0" distR="0" wp14:anchorId="509806B7" wp14:editId="3E21FA52">
                  <wp:extent cx="3131185" cy="2380615"/>
                  <wp:effectExtent l="0" t="0" r="0" b="63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1185" cy="2380615"/>
                          </a:xfrm>
                          <a:prstGeom prst="rect">
                            <a:avLst/>
                          </a:prstGeom>
                          <a:noFill/>
                          <a:ln>
                            <a:noFill/>
                          </a:ln>
                        </pic:spPr>
                      </pic:pic>
                    </a:graphicData>
                  </a:graphic>
                </wp:inline>
              </w:drawing>
            </w:r>
          </w:p>
        </w:tc>
      </w:tr>
      <w:tr w:rsidR="00E172B8" w14:paraId="2EFF094D" w14:textId="77777777" w:rsidTr="00E172B8">
        <w:tc>
          <w:tcPr>
            <w:tcW w:w="4814" w:type="dxa"/>
            <w:hideMark/>
          </w:tcPr>
          <w:p w14:paraId="35BE2DE6" w14:textId="1985421B" w:rsidR="00E172B8" w:rsidRDefault="00E172B8">
            <w:pPr>
              <w:widowControl w:val="0"/>
              <w:wordWrap w:val="0"/>
              <w:spacing w:after="120"/>
              <w:contextualSpacing/>
              <w:jc w:val="both"/>
              <w:rPr>
                <w:rFonts w:eastAsia="Batang"/>
                <w:snapToGrid w:val="0"/>
                <w:kern w:val="2"/>
                <w:lang w:val="de-DE" w:eastAsia="ko-KR"/>
              </w:rPr>
            </w:pPr>
            <w:r>
              <w:rPr>
                <w:rFonts w:eastAsia="Batang"/>
                <w:noProof/>
                <w:kern w:val="2"/>
                <w:lang w:val="de-DE" w:eastAsia="ko-KR"/>
              </w:rPr>
              <w:drawing>
                <wp:inline distT="0" distB="0" distL="0" distR="0" wp14:anchorId="734688FF" wp14:editId="17C27167">
                  <wp:extent cx="3131185" cy="2380615"/>
                  <wp:effectExtent l="0" t="0" r="0" b="635"/>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1185" cy="2380615"/>
                          </a:xfrm>
                          <a:prstGeom prst="rect">
                            <a:avLst/>
                          </a:prstGeom>
                          <a:noFill/>
                          <a:ln>
                            <a:noFill/>
                          </a:ln>
                        </pic:spPr>
                      </pic:pic>
                    </a:graphicData>
                  </a:graphic>
                </wp:inline>
              </w:drawing>
            </w:r>
          </w:p>
        </w:tc>
        <w:tc>
          <w:tcPr>
            <w:tcW w:w="4815" w:type="dxa"/>
            <w:hideMark/>
          </w:tcPr>
          <w:p w14:paraId="5BF3B1F6" w14:textId="3B24CB5D" w:rsidR="00E172B8" w:rsidRDefault="00E172B8">
            <w:pPr>
              <w:widowControl w:val="0"/>
              <w:wordWrap w:val="0"/>
              <w:spacing w:after="120"/>
              <w:contextualSpacing/>
              <w:jc w:val="both"/>
              <w:rPr>
                <w:rFonts w:eastAsia="Batang"/>
                <w:snapToGrid w:val="0"/>
                <w:kern w:val="2"/>
                <w:lang w:val="de-DE" w:eastAsia="ko-KR"/>
              </w:rPr>
            </w:pPr>
            <w:r>
              <w:rPr>
                <w:rFonts w:eastAsia="Batang"/>
                <w:noProof/>
                <w:kern w:val="2"/>
                <w:lang w:val="de-DE" w:eastAsia="ko-KR"/>
              </w:rPr>
              <w:drawing>
                <wp:inline distT="0" distB="0" distL="0" distR="0" wp14:anchorId="74029BC4" wp14:editId="5E9FFFCA">
                  <wp:extent cx="3131185" cy="2380615"/>
                  <wp:effectExtent l="0" t="0" r="0" b="635"/>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1185" cy="2380615"/>
                          </a:xfrm>
                          <a:prstGeom prst="rect">
                            <a:avLst/>
                          </a:prstGeom>
                          <a:noFill/>
                          <a:ln>
                            <a:noFill/>
                          </a:ln>
                        </pic:spPr>
                      </pic:pic>
                    </a:graphicData>
                  </a:graphic>
                </wp:inline>
              </w:drawing>
            </w:r>
          </w:p>
        </w:tc>
      </w:tr>
    </w:tbl>
    <w:p w14:paraId="0914AE23" w14:textId="77777777" w:rsidR="00E172B8" w:rsidRDefault="00E172B8" w:rsidP="00E172B8">
      <w:pPr>
        <w:widowControl w:val="0"/>
        <w:wordWrap w:val="0"/>
        <w:spacing w:after="120"/>
        <w:contextualSpacing/>
        <w:jc w:val="both"/>
        <w:rPr>
          <w:rFonts w:asciiTheme="minorHAnsi" w:eastAsia="Batang" w:hAnsiTheme="minorHAnsi" w:cstheme="minorBidi"/>
          <w:snapToGrid w:val="0"/>
          <w:kern w:val="2"/>
          <w:sz w:val="22"/>
          <w:szCs w:val="22"/>
          <w:lang w:val="en-US" w:eastAsia="ko-KR"/>
        </w:rPr>
      </w:pPr>
    </w:p>
    <w:p w14:paraId="79691C0D" w14:textId="77777777" w:rsidR="00E172B8" w:rsidRPr="00E172B8" w:rsidRDefault="00E172B8" w:rsidP="00E172B8">
      <w:pPr>
        <w:pStyle w:val="LGTdoc1"/>
        <w:spacing w:before="120" w:after="220" w:afterAutospacing="0"/>
        <w:jc w:val="center"/>
        <w:rPr>
          <w:rFonts w:eastAsiaTheme="minorEastAsia"/>
          <w:snapToGrid/>
          <w:sz w:val="22"/>
          <w:lang w:eastAsia="zh-CN"/>
        </w:rPr>
      </w:pPr>
      <w:r>
        <w:rPr>
          <w:kern w:val="2"/>
          <w:sz w:val="22"/>
        </w:rPr>
        <w:t>Figure 1</w:t>
      </w:r>
      <w:r>
        <w:rPr>
          <w:b w:val="0"/>
          <w:kern w:val="2"/>
          <w:sz w:val="22"/>
        </w:rPr>
        <w:t xml:space="preserve">: </w:t>
      </w:r>
      <w:r w:rsidRPr="00E172B8">
        <w:rPr>
          <w:kern w:val="2"/>
          <w:sz w:val="22"/>
        </w:rPr>
        <w:t>Comparison of single and dual layer transmission with different of repetitions</w:t>
      </w:r>
    </w:p>
    <w:p w14:paraId="34FDAF9D" w14:textId="4D623253" w:rsidR="00082C01" w:rsidRDefault="00082C01" w:rsidP="0047309A"/>
    <w:p w14:paraId="1513A7B5" w14:textId="687BB2C6" w:rsidR="00E172B8" w:rsidRPr="005B15F9" w:rsidRDefault="00E172B8" w:rsidP="00E172B8">
      <w:pPr>
        <w:pStyle w:val="LGTdoc1"/>
        <w:spacing w:before="120" w:after="220" w:afterAutospacing="0"/>
        <w:rPr>
          <w:sz w:val="20"/>
          <w:lang w:val="en-US"/>
        </w:rPr>
      </w:pPr>
      <w:r w:rsidRPr="005B15F9">
        <w:rPr>
          <w:sz w:val="20"/>
        </w:rPr>
        <w:t xml:space="preserve">Observation 5. Dual-layer downlink transmission performs much worse than single layer for the SNR range from -5dB to 0dB. </w:t>
      </w:r>
    </w:p>
    <w:p w14:paraId="1FF0567E" w14:textId="6EF95C28" w:rsidR="00382010" w:rsidRPr="0066343E" w:rsidRDefault="00E172B8" w:rsidP="00382010">
      <w:pPr>
        <w:pStyle w:val="LGTdoc1"/>
        <w:spacing w:before="120" w:after="220" w:afterAutospacing="0"/>
        <w:rPr>
          <w:b w:val="0"/>
          <w:sz w:val="22"/>
        </w:rPr>
      </w:pPr>
      <w:r>
        <w:rPr>
          <w:b w:val="0"/>
          <w:sz w:val="22"/>
        </w:rPr>
        <w:lastRenderedPageBreak/>
        <w:t xml:space="preserve">Additionally, and to focus on the physical layer performance at low SNR of multi-layer schemes, </w:t>
      </w:r>
      <w:proofErr w:type="gramStart"/>
      <w:r w:rsidR="00A173BC">
        <w:rPr>
          <w:b w:val="0"/>
          <w:sz w:val="22"/>
        </w:rPr>
        <w:t>performance  of</w:t>
      </w:r>
      <w:proofErr w:type="gramEnd"/>
      <w:r w:rsidR="00A173BC">
        <w:rPr>
          <w:b w:val="0"/>
          <w:sz w:val="22"/>
        </w:rPr>
        <w:t xml:space="preserve">  </w:t>
      </w:r>
      <w:r>
        <w:rPr>
          <w:b w:val="0"/>
          <w:sz w:val="22"/>
        </w:rPr>
        <w:t>TM2 vs 2-layer TM3 with fixed MCS, rank-2 AWGN channel, HARQ with up to 4 retransmissions, 25PRB allocation</w:t>
      </w:r>
      <w:r w:rsidR="00A173BC">
        <w:rPr>
          <w:b w:val="0"/>
          <w:sz w:val="22"/>
        </w:rPr>
        <w:t xml:space="preserve"> were compared</w:t>
      </w:r>
      <w:r>
        <w:rPr>
          <w:b w:val="0"/>
          <w:sz w:val="22"/>
        </w:rPr>
        <w:t xml:space="preserve">. The results are shown in Figure 2. It can be observed that for the region of interest (below -5dB SNR) the performance of TM2 is comparable or better than that of TM3. No significant gain </w:t>
      </w:r>
      <w:r w:rsidR="00A173BC">
        <w:rPr>
          <w:b w:val="0"/>
          <w:sz w:val="22"/>
        </w:rPr>
        <w:t xml:space="preserve">in </w:t>
      </w:r>
      <w:r>
        <w:rPr>
          <w:b w:val="0"/>
          <w:sz w:val="22"/>
        </w:rPr>
        <w:t>TM3 is observed in the regime where the throughput of TM2 does not saturate.</w:t>
      </w:r>
    </w:p>
    <w:p w14:paraId="6232F304" w14:textId="3C928A92" w:rsidR="00382010" w:rsidRDefault="00382010" w:rsidP="00382010">
      <w:pPr>
        <w:pStyle w:val="LGTdoc1"/>
        <w:keepNext/>
        <w:spacing w:before="120" w:after="220" w:afterAutospacing="0"/>
      </w:pPr>
      <w:r>
        <w:rPr>
          <w:b w:val="0"/>
          <w:noProof/>
          <w:sz w:val="22"/>
        </w:rPr>
        <w:drawing>
          <wp:inline distT="0" distB="0" distL="0" distR="0" wp14:anchorId="5319F99F" wp14:editId="1B0226AD">
            <wp:extent cx="2941320" cy="22085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1320" cy="2208530"/>
                    </a:xfrm>
                    <a:prstGeom prst="rect">
                      <a:avLst/>
                    </a:prstGeom>
                    <a:noFill/>
                    <a:ln>
                      <a:noFill/>
                    </a:ln>
                  </pic:spPr>
                </pic:pic>
              </a:graphicData>
            </a:graphic>
          </wp:inline>
        </w:drawing>
      </w:r>
      <w:r>
        <w:rPr>
          <w:b w:val="0"/>
        </w:rPr>
        <w:t xml:space="preserve"> </w:t>
      </w:r>
      <w:r>
        <w:rPr>
          <w:noProof/>
        </w:rPr>
        <w:drawing>
          <wp:inline distT="0" distB="0" distL="0" distR="0" wp14:anchorId="268A3A6E" wp14:editId="1D5C39F5">
            <wp:extent cx="2976245" cy="2225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6245" cy="2225675"/>
                    </a:xfrm>
                    <a:prstGeom prst="rect">
                      <a:avLst/>
                    </a:prstGeom>
                    <a:noFill/>
                    <a:ln>
                      <a:noFill/>
                    </a:ln>
                  </pic:spPr>
                </pic:pic>
              </a:graphicData>
            </a:graphic>
          </wp:inline>
        </w:drawing>
      </w:r>
    </w:p>
    <w:p w14:paraId="57A1D916" w14:textId="77777777" w:rsidR="00382010" w:rsidRDefault="00382010" w:rsidP="00382010">
      <w:pPr>
        <w:pStyle w:val="Caption"/>
        <w:jc w:val="center"/>
      </w:pPr>
      <w:r>
        <w:t>Figure 2 TM3 vs TM2 performance for fixed MCS (left) and envelope (right)</w:t>
      </w:r>
    </w:p>
    <w:p w14:paraId="77120BC3" w14:textId="467138A8" w:rsidR="00382010" w:rsidRPr="005B15F9" w:rsidRDefault="00382010" w:rsidP="00382010">
      <w:pPr>
        <w:pStyle w:val="LGTdoc1"/>
        <w:spacing w:before="120" w:after="220" w:afterAutospacing="0"/>
        <w:rPr>
          <w:sz w:val="20"/>
        </w:rPr>
      </w:pPr>
      <w:r w:rsidRPr="005B15F9">
        <w:rPr>
          <w:sz w:val="20"/>
        </w:rPr>
        <w:t xml:space="preserve">Observation 6: No throughput gain is observed for TM3 dual layer transmission over TM2 transmission under extended coverage. </w:t>
      </w:r>
    </w:p>
    <w:p w14:paraId="7FE27CA9" w14:textId="3249F3B6" w:rsidR="0066343E" w:rsidRDefault="0066343E" w:rsidP="0066343E">
      <w:pPr>
        <w:widowControl w:val="0"/>
        <w:wordWrap w:val="0"/>
        <w:spacing w:after="120"/>
        <w:contextualSpacing/>
        <w:jc w:val="both"/>
        <w:rPr>
          <w:rFonts w:eastAsia="Batang"/>
          <w:snapToGrid w:val="0"/>
          <w:kern w:val="2"/>
          <w:lang w:val="en-US" w:eastAsia="ko-KR"/>
        </w:rPr>
      </w:pPr>
      <w:r>
        <w:rPr>
          <w:rFonts w:eastAsia="Batang"/>
          <w:snapToGrid w:val="0"/>
          <w:kern w:val="2"/>
          <w:lang w:eastAsia="ko-KR"/>
        </w:rPr>
        <w:t xml:space="preserve">Some companies have stated the SNR above 0dB shall also be valid operation point for CE mode A since a repetition level of one is allowed in CE mode A. BL UEs can certainly operate above more than 0dB. However, non-BL UEs shall should change to non-BL reception when the SNR becomes good for enjoying high data throughput. There are some arguments on power saving for the non-BL UEs operating in narrowband compared to the wideband reception; non-BL UE receives DL control via MPDCCH in a narrowband of 6 PRBs instead of the wideband PDCCH. However, since the narrowband MPDCCH spans the entire subframe, it does not allow for micro sleep, which is possible for PDCCH reception; i.e., upon no detection of PDCCH in the first 3 symbols of the subframe UE can go to sleep for the rest of the subframe for power saving. Table 2 compares the power consumption for monitoring MPDCCH and PDCCH for different system bandwidth. No power saving gain is observed for the narrowband MPDCCH monitoring. Due to the usage of micro sleep, the PDCCH monitoring for 10MHz system bandwidth requires even less power than monitoring the narrowband </w:t>
      </w:r>
      <w:r w:rsidR="00C45469">
        <w:rPr>
          <w:rFonts w:eastAsia="Batang"/>
          <w:snapToGrid w:val="0"/>
          <w:kern w:val="2"/>
          <w:lang w:eastAsia="ko-KR"/>
        </w:rPr>
        <w:t>M</w:t>
      </w:r>
      <w:r>
        <w:rPr>
          <w:rFonts w:eastAsia="Batang"/>
          <w:snapToGrid w:val="0"/>
          <w:kern w:val="2"/>
          <w:lang w:eastAsia="ko-KR"/>
        </w:rPr>
        <w:t>PDCCH.</w:t>
      </w:r>
    </w:p>
    <w:p w14:paraId="2ED54B5E" w14:textId="55B57006" w:rsidR="0066343E" w:rsidRDefault="0066343E" w:rsidP="0066343E">
      <w:pPr>
        <w:pStyle w:val="LGTdoc1"/>
        <w:spacing w:before="120" w:after="220" w:afterAutospacing="0"/>
        <w:jc w:val="center"/>
        <w:rPr>
          <w:kern w:val="2"/>
          <w:sz w:val="22"/>
        </w:rPr>
      </w:pPr>
      <w:r>
        <w:rPr>
          <w:kern w:val="2"/>
          <w:sz w:val="22"/>
        </w:rPr>
        <w:t>Table 2</w:t>
      </w:r>
      <w:r>
        <w:rPr>
          <w:b w:val="0"/>
          <w:kern w:val="2"/>
          <w:sz w:val="22"/>
        </w:rPr>
        <w:t xml:space="preserve">: </w:t>
      </w:r>
      <w:r w:rsidRPr="00C45469">
        <w:rPr>
          <w:kern w:val="2"/>
          <w:sz w:val="22"/>
        </w:rPr>
        <w:t xml:space="preserve">Comparison of power consumption for </w:t>
      </w:r>
      <w:r w:rsidR="00C45469">
        <w:rPr>
          <w:kern w:val="2"/>
          <w:sz w:val="22"/>
        </w:rPr>
        <w:t>M</w:t>
      </w:r>
      <w:r w:rsidRPr="00C45469">
        <w:rPr>
          <w:kern w:val="2"/>
          <w:sz w:val="22"/>
        </w:rPr>
        <w:t>PDCCH and PDCCH monitoring</w:t>
      </w:r>
    </w:p>
    <w:tbl>
      <w:tblPr>
        <w:tblStyle w:val="TableGrid"/>
        <w:tblW w:w="0" w:type="auto"/>
        <w:jc w:val="center"/>
        <w:tblLook w:val="04A0" w:firstRow="1" w:lastRow="0" w:firstColumn="1" w:lastColumn="0" w:noHBand="0" w:noVBand="1"/>
      </w:tblPr>
      <w:tblGrid>
        <w:gridCol w:w="2255"/>
        <w:gridCol w:w="2255"/>
      </w:tblGrid>
      <w:tr w:rsidR="00C45469" w14:paraId="0BE61DED" w14:textId="77777777" w:rsidTr="00C45469">
        <w:trPr>
          <w:trHeight w:val="432"/>
          <w:jc w:val="center"/>
        </w:trPr>
        <w:tc>
          <w:tcPr>
            <w:tcW w:w="2255" w:type="dxa"/>
            <w:vAlign w:val="center"/>
          </w:tcPr>
          <w:p w14:paraId="193C4C8E" w14:textId="5B36C25A" w:rsidR="00C45469" w:rsidRDefault="00C45469" w:rsidP="0066343E">
            <w:pPr>
              <w:pStyle w:val="LGTdoc1"/>
              <w:spacing w:before="120" w:after="220" w:afterAutospacing="0"/>
              <w:jc w:val="center"/>
              <w:rPr>
                <w:snapToGrid/>
                <w:kern w:val="2"/>
                <w:sz w:val="22"/>
              </w:rPr>
            </w:pPr>
            <w:r>
              <w:rPr>
                <w:snapToGrid/>
                <w:kern w:val="2"/>
                <w:sz w:val="22"/>
              </w:rPr>
              <w:t>Case</w:t>
            </w:r>
          </w:p>
        </w:tc>
        <w:tc>
          <w:tcPr>
            <w:tcW w:w="2255" w:type="dxa"/>
            <w:vAlign w:val="center"/>
          </w:tcPr>
          <w:p w14:paraId="3951A2FA" w14:textId="0827C6E9" w:rsidR="00C45469" w:rsidRDefault="00C45469" w:rsidP="0066343E">
            <w:pPr>
              <w:pStyle w:val="LGTdoc1"/>
              <w:spacing w:before="120" w:after="220" w:afterAutospacing="0"/>
              <w:jc w:val="center"/>
              <w:rPr>
                <w:snapToGrid/>
                <w:kern w:val="2"/>
                <w:sz w:val="22"/>
              </w:rPr>
            </w:pPr>
            <w:r>
              <w:rPr>
                <w:snapToGrid/>
                <w:kern w:val="2"/>
                <w:sz w:val="22"/>
              </w:rPr>
              <w:t>Power Consumption</w:t>
            </w:r>
          </w:p>
        </w:tc>
      </w:tr>
      <w:tr w:rsidR="00C45469" w14:paraId="479DD66E" w14:textId="77777777" w:rsidTr="00C45469">
        <w:trPr>
          <w:trHeight w:val="442"/>
          <w:jc w:val="center"/>
        </w:trPr>
        <w:tc>
          <w:tcPr>
            <w:tcW w:w="2255" w:type="dxa"/>
            <w:vAlign w:val="center"/>
          </w:tcPr>
          <w:p w14:paraId="1616BD0E" w14:textId="507CFB53" w:rsidR="00C45469" w:rsidRDefault="00C45469" w:rsidP="0066343E">
            <w:pPr>
              <w:pStyle w:val="LGTdoc1"/>
              <w:spacing w:before="120" w:after="220" w:afterAutospacing="0"/>
              <w:jc w:val="center"/>
              <w:rPr>
                <w:snapToGrid/>
                <w:kern w:val="2"/>
                <w:sz w:val="22"/>
              </w:rPr>
            </w:pPr>
            <w:r>
              <w:rPr>
                <w:snapToGrid/>
                <w:kern w:val="2"/>
                <w:sz w:val="22"/>
              </w:rPr>
              <w:t>MPDCCH</w:t>
            </w:r>
          </w:p>
        </w:tc>
        <w:tc>
          <w:tcPr>
            <w:tcW w:w="2255" w:type="dxa"/>
            <w:vAlign w:val="center"/>
          </w:tcPr>
          <w:p w14:paraId="015F7F28" w14:textId="65C27997" w:rsidR="00C45469" w:rsidRDefault="00C45469" w:rsidP="0066343E">
            <w:pPr>
              <w:pStyle w:val="LGTdoc1"/>
              <w:spacing w:before="120" w:after="220" w:afterAutospacing="0"/>
              <w:jc w:val="center"/>
              <w:rPr>
                <w:snapToGrid/>
                <w:kern w:val="2"/>
                <w:sz w:val="22"/>
              </w:rPr>
            </w:pPr>
            <w:r>
              <w:rPr>
                <w:snapToGrid/>
                <w:kern w:val="2"/>
                <w:sz w:val="22"/>
              </w:rPr>
              <w:t>P</w:t>
            </w:r>
          </w:p>
        </w:tc>
      </w:tr>
      <w:tr w:rsidR="00C45469" w14:paraId="73B3B4B4" w14:textId="77777777" w:rsidTr="00C45469">
        <w:trPr>
          <w:trHeight w:val="432"/>
          <w:jc w:val="center"/>
        </w:trPr>
        <w:tc>
          <w:tcPr>
            <w:tcW w:w="2255" w:type="dxa"/>
            <w:vAlign w:val="center"/>
          </w:tcPr>
          <w:p w14:paraId="0D381CF2" w14:textId="0683B8AA" w:rsidR="00C45469" w:rsidRDefault="00C45469" w:rsidP="0066343E">
            <w:pPr>
              <w:pStyle w:val="LGTdoc1"/>
              <w:spacing w:before="120" w:after="220" w:afterAutospacing="0"/>
              <w:jc w:val="center"/>
              <w:rPr>
                <w:snapToGrid/>
                <w:kern w:val="2"/>
                <w:sz w:val="22"/>
              </w:rPr>
            </w:pPr>
            <w:r>
              <w:rPr>
                <w:snapToGrid/>
                <w:kern w:val="2"/>
                <w:sz w:val="22"/>
              </w:rPr>
              <w:t>PDCCH @ 10 MHz</w:t>
            </w:r>
          </w:p>
        </w:tc>
        <w:tc>
          <w:tcPr>
            <w:tcW w:w="2255" w:type="dxa"/>
            <w:vAlign w:val="center"/>
          </w:tcPr>
          <w:p w14:paraId="3CBB2CD5" w14:textId="0EFBFE79" w:rsidR="00C45469" w:rsidRDefault="00C45469" w:rsidP="0066343E">
            <w:pPr>
              <w:pStyle w:val="LGTdoc1"/>
              <w:spacing w:before="120" w:after="220" w:afterAutospacing="0"/>
              <w:jc w:val="center"/>
              <w:rPr>
                <w:snapToGrid/>
                <w:kern w:val="2"/>
                <w:sz w:val="22"/>
              </w:rPr>
            </w:pPr>
            <w:r>
              <w:rPr>
                <w:snapToGrid/>
                <w:kern w:val="2"/>
                <w:sz w:val="22"/>
              </w:rPr>
              <w:t>0.87P</w:t>
            </w:r>
          </w:p>
        </w:tc>
      </w:tr>
      <w:tr w:rsidR="00C45469" w14:paraId="42064FB4" w14:textId="77777777" w:rsidTr="00C45469">
        <w:trPr>
          <w:trHeight w:val="432"/>
          <w:jc w:val="center"/>
        </w:trPr>
        <w:tc>
          <w:tcPr>
            <w:tcW w:w="2255" w:type="dxa"/>
            <w:vAlign w:val="center"/>
          </w:tcPr>
          <w:p w14:paraId="5028489D" w14:textId="71CDE438" w:rsidR="00C45469" w:rsidRDefault="00C45469" w:rsidP="0066343E">
            <w:pPr>
              <w:pStyle w:val="LGTdoc1"/>
              <w:spacing w:before="120" w:after="220" w:afterAutospacing="0"/>
              <w:jc w:val="center"/>
              <w:rPr>
                <w:snapToGrid/>
                <w:kern w:val="2"/>
                <w:sz w:val="22"/>
              </w:rPr>
            </w:pPr>
            <w:r>
              <w:rPr>
                <w:snapToGrid/>
                <w:kern w:val="2"/>
                <w:sz w:val="22"/>
              </w:rPr>
              <w:t>PDCCH @ 20 MHz</w:t>
            </w:r>
          </w:p>
        </w:tc>
        <w:tc>
          <w:tcPr>
            <w:tcW w:w="2255" w:type="dxa"/>
            <w:vAlign w:val="center"/>
          </w:tcPr>
          <w:p w14:paraId="3476862E" w14:textId="096FA9B1" w:rsidR="00C45469" w:rsidRDefault="00C45469" w:rsidP="0066343E">
            <w:pPr>
              <w:pStyle w:val="LGTdoc1"/>
              <w:spacing w:before="120" w:after="220" w:afterAutospacing="0"/>
              <w:jc w:val="center"/>
              <w:rPr>
                <w:snapToGrid/>
                <w:kern w:val="2"/>
                <w:sz w:val="22"/>
              </w:rPr>
            </w:pPr>
            <w:r>
              <w:rPr>
                <w:snapToGrid/>
                <w:kern w:val="2"/>
                <w:sz w:val="22"/>
              </w:rPr>
              <w:t>0.99P</w:t>
            </w:r>
          </w:p>
        </w:tc>
      </w:tr>
    </w:tbl>
    <w:p w14:paraId="4312A878" w14:textId="77777777" w:rsidR="0066343E" w:rsidRDefault="0066343E" w:rsidP="0066343E">
      <w:pPr>
        <w:widowControl w:val="0"/>
        <w:wordWrap w:val="0"/>
        <w:spacing w:after="120"/>
        <w:contextualSpacing/>
        <w:jc w:val="both"/>
        <w:rPr>
          <w:rFonts w:asciiTheme="minorHAnsi" w:eastAsia="Batang" w:hAnsiTheme="minorHAnsi" w:cstheme="minorBidi"/>
          <w:b/>
          <w:snapToGrid w:val="0"/>
          <w:sz w:val="22"/>
          <w:szCs w:val="22"/>
          <w:u w:val="single"/>
          <w:lang w:val="en-US" w:eastAsia="ko-KR"/>
        </w:rPr>
      </w:pPr>
    </w:p>
    <w:p w14:paraId="3DD5ED65" w14:textId="4E329B80" w:rsidR="0066343E" w:rsidRDefault="0066343E" w:rsidP="0066343E">
      <w:pPr>
        <w:widowControl w:val="0"/>
        <w:wordWrap w:val="0"/>
        <w:spacing w:after="120"/>
        <w:contextualSpacing/>
        <w:jc w:val="both"/>
        <w:rPr>
          <w:rFonts w:eastAsia="Batang"/>
          <w:b/>
          <w:snapToGrid w:val="0"/>
          <w:u w:val="single"/>
          <w:lang w:eastAsia="ko-KR"/>
        </w:rPr>
      </w:pPr>
      <w:r w:rsidRPr="00C45469">
        <w:rPr>
          <w:rFonts w:eastAsia="Batang"/>
          <w:b/>
          <w:snapToGrid w:val="0"/>
          <w:lang w:eastAsia="ko-KR"/>
        </w:rPr>
        <w:t xml:space="preserve">Observation </w:t>
      </w:r>
      <w:r w:rsidR="00C45469" w:rsidRPr="00C45469">
        <w:rPr>
          <w:rFonts w:eastAsia="Batang"/>
          <w:b/>
          <w:snapToGrid w:val="0"/>
          <w:lang w:eastAsia="ko-KR"/>
        </w:rPr>
        <w:t>7</w:t>
      </w:r>
      <w:r w:rsidR="005527EC">
        <w:rPr>
          <w:rFonts w:eastAsia="Batang"/>
          <w:b/>
          <w:snapToGrid w:val="0"/>
          <w:lang w:eastAsia="ko-KR"/>
        </w:rPr>
        <w:t>.</w:t>
      </w:r>
      <w:r w:rsidRPr="00C45469">
        <w:rPr>
          <w:rFonts w:eastAsia="Batang"/>
          <w:b/>
          <w:snapToGrid w:val="0"/>
          <w:lang w:eastAsia="ko-KR"/>
        </w:rPr>
        <w:t xml:space="preserve"> </w:t>
      </w:r>
      <w:r>
        <w:rPr>
          <w:rFonts w:eastAsia="Batang"/>
          <w:b/>
          <w:snapToGrid w:val="0"/>
          <w:lang w:eastAsia="ko-KR"/>
        </w:rPr>
        <w:t xml:space="preserve">No power saving is observed for narrowband </w:t>
      </w:r>
      <w:r w:rsidR="00C45469">
        <w:rPr>
          <w:rFonts w:eastAsia="Batang"/>
          <w:b/>
          <w:snapToGrid w:val="0"/>
          <w:lang w:eastAsia="ko-KR"/>
        </w:rPr>
        <w:t>M</w:t>
      </w:r>
      <w:r>
        <w:rPr>
          <w:rFonts w:eastAsia="Batang"/>
          <w:b/>
          <w:snapToGrid w:val="0"/>
          <w:lang w:eastAsia="ko-KR"/>
        </w:rPr>
        <w:t xml:space="preserve">PDCCH monitoring compared to wideband PDCCH monitoring at the </w:t>
      </w:r>
      <w:r w:rsidR="00C45469">
        <w:rPr>
          <w:rFonts w:eastAsia="Batang"/>
          <w:b/>
          <w:snapToGrid w:val="0"/>
          <w:lang w:eastAsia="ko-KR"/>
        </w:rPr>
        <w:t>high</w:t>
      </w:r>
      <w:r>
        <w:rPr>
          <w:rFonts w:eastAsia="Batang"/>
          <w:b/>
          <w:snapToGrid w:val="0"/>
          <w:lang w:eastAsia="ko-KR"/>
        </w:rPr>
        <w:t xml:space="preserve"> SNR</w:t>
      </w:r>
      <w:r w:rsidR="00C45469">
        <w:rPr>
          <w:rFonts w:eastAsia="Batang"/>
          <w:b/>
          <w:snapToGrid w:val="0"/>
          <w:lang w:eastAsia="ko-KR"/>
        </w:rPr>
        <w:t>.</w:t>
      </w:r>
    </w:p>
    <w:p w14:paraId="7AA2A289" w14:textId="77777777" w:rsidR="005527EC" w:rsidRDefault="005527EC" w:rsidP="005527EC">
      <w:pPr>
        <w:widowControl w:val="0"/>
        <w:wordWrap w:val="0"/>
        <w:spacing w:after="120"/>
        <w:contextualSpacing/>
        <w:jc w:val="both"/>
      </w:pPr>
    </w:p>
    <w:p w14:paraId="28F60638" w14:textId="62AF5026" w:rsidR="005527EC" w:rsidRDefault="005527EC" w:rsidP="005527EC">
      <w:pPr>
        <w:widowControl w:val="0"/>
        <w:wordWrap w:val="0"/>
        <w:spacing w:after="120"/>
        <w:contextualSpacing/>
        <w:jc w:val="both"/>
        <w:rPr>
          <w:rFonts w:eastAsia="Batang"/>
          <w:snapToGrid w:val="0"/>
          <w:kern w:val="2"/>
          <w:sz w:val="22"/>
          <w:lang w:eastAsia="ko-KR"/>
        </w:rPr>
      </w:pPr>
      <w:r>
        <w:rPr>
          <w:rFonts w:eastAsia="Batang"/>
          <w:snapToGrid w:val="0"/>
          <w:kern w:val="2"/>
          <w:lang w:eastAsia="ko-KR"/>
        </w:rPr>
        <w:t xml:space="preserve">Therefore, we propose </w:t>
      </w:r>
    </w:p>
    <w:p w14:paraId="01595A94" w14:textId="292EFD23" w:rsidR="005527EC" w:rsidRDefault="005527EC" w:rsidP="005527EC">
      <w:pPr>
        <w:pStyle w:val="LGTdoc1"/>
        <w:spacing w:before="120" w:after="220" w:afterAutospacing="0"/>
        <w:rPr>
          <w:snapToGrid/>
          <w:sz w:val="22"/>
        </w:rPr>
      </w:pPr>
      <w:r w:rsidRPr="008313D7">
        <w:rPr>
          <w:sz w:val="22"/>
        </w:rPr>
        <w:t>Proposal 5.</w:t>
      </w:r>
      <w:r>
        <w:rPr>
          <w:sz w:val="22"/>
        </w:rPr>
        <w:t xml:space="preserve"> Dual layer downlink reception is not supported for the non-BL UEs in CE mode A </w:t>
      </w:r>
    </w:p>
    <w:p w14:paraId="2E9E1BC5" w14:textId="5D1E1BD5" w:rsidR="005527EC" w:rsidRDefault="008313D7" w:rsidP="0047309A">
      <w:pPr>
        <w:rPr>
          <w:b/>
          <w:i/>
          <w:sz w:val="24"/>
        </w:rPr>
      </w:pPr>
      <w:r>
        <w:rPr>
          <w:b/>
          <w:i/>
          <w:sz w:val="24"/>
        </w:rPr>
        <w:lastRenderedPageBreak/>
        <w:t>Feedback based on CSI-RS:</w:t>
      </w:r>
    </w:p>
    <w:p w14:paraId="4996D770" w14:textId="0C1BCF0C" w:rsidR="00E23423" w:rsidRDefault="0072484D" w:rsidP="00E23423">
      <w:pPr>
        <w:widowControl w:val="0"/>
        <w:wordWrap w:val="0"/>
        <w:spacing w:after="120"/>
        <w:contextualSpacing/>
        <w:jc w:val="both"/>
        <w:rPr>
          <w:rFonts w:eastAsia="Batang"/>
          <w:snapToGrid w:val="0"/>
          <w:kern w:val="2"/>
          <w:lang w:val="en-US" w:eastAsia="ko-KR"/>
        </w:rPr>
      </w:pPr>
      <w:r>
        <w:rPr>
          <w:rFonts w:eastAsia="Batang"/>
          <w:snapToGrid w:val="0"/>
          <w:kern w:val="2"/>
          <w:lang w:eastAsia="ko-KR"/>
        </w:rPr>
        <w:t>I</w:t>
      </w:r>
      <w:r w:rsidR="00E23423">
        <w:rPr>
          <w:rFonts w:eastAsia="Batang"/>
          <w:snapToGrid w:val="0"/>
          <w:kern w:val="2"/>
          <w:lang w:eastAsia="ko-KR"/>
        </w:rPr>
        <w:t xml:space="preserve">n </w:t>
      </w:r>
      <w:proofErr w:type="spellStart"/>
      <w:r w:rsidR="00E23423">
        <w:rPr>
          <w:rFonts w:eastAsia="Batang"/>
          <w:snapToGrid w:val="0"/>
          <w:kern w:val="2"/>
          <w:lang w:eastAsia="ko-KR"/>
        </w:rPr>
        <w:t>eMTC</w:t>
      </w:r>
      <w:proofErr w:type="spellEnd"/>
      <w:r w:rsidR="00E23423">
        <w:rPr>
          <w:rFonts w:eastAsia="Batang"/>
          <w:snapToGrid w:val="0"/>
          <w:kern w:val="2"/>
          <w:lang w:eastAsia="ko-KR"/>
        </w:rPr>
        <w:t xml:space="preserve">, transmission mode 1, 6 and 9 can be configured for downlink transmission. TM1 and 6 use CRS for PDSCH data demodulation and TM9 is based on UE specific DMRS. For CSI feedback, CRS is used even for TM9. The potential issue for CSI feedback using CRS in TM9 is the misalignment between antenna ports for CSI measurement and </w:t>
      </w:r>
      <w:r>
        <w:rPr>
          <w:rFonts w:eastAsia="Batang"/>
          <w:snapToGrid w:val="0"/>
          <w:kern w:val="2"/>
          <w:lang w:eastAsia="ko-KR"/>
        </w:rPr>
        <w:t xml:space="preserve">those </w:t>
      </w:r>
      <w:r w:rsidR="00E23423">
        <w:rPr>
          <w:rFonts w:eastAsia="Batang"/>
          <w:snapToGrid w:val="0"/>
          <w:kern w:val="2"/>
          <w:lang w:eastAsia="ko-KR"/>
        </w:rPr>
        <w:t>for PDSCH transmission since the number of CRS ports is only up to 4 but the number of antenna ports for PDSCH transmission in TM9 can be up to 8. Due to th</w:t>
      </w:r>
      <w:r>
        <w:rPr>
          <w:rFonts w:eastAsia="Batang"/>
          <w:snapToGrid w:val="0"/>
          <w:kern w:val="2"/>
          <w:lang w:eastAsia="ko-KR"/>
        </w:rPr>
        <w:t>is</w:t>
      </w:r>
      <w:r w:rsidR="00E23423">
        <w:rPr>
          <w:rFonts w:eastAsia="Batang"/>
          <w:snapToGrid w:val="0"/>
          <w:kern w:val="2"/>
          <w:lang w:eastAsia="ko-KR"/>
        </w:rPr>
        <w:t xml:space="preserve"> misalignment</w:t>
      </w:r>
      <w:r>
        <w:rPr>
          <w:rFonts w:eastAsia="Batang"/>
          <w:snapToGrid w:val="0"/>
          <w:kern w:val="2"/>
          <w:lang w:eastAsia="ko-KR"/>
        </w:rPr>
        <w:t>,</w:t>
      </w:r>
      <w:r w:rsidR="00E23423">
        <w:rPr>
          <w:rFonts w:eastAsia="Batang"/>
          <w:snapToGrid w:val="0"/>
          <w:kern w:val="2"/>
          <w:lang w:eastAsia="ko-KR"/>
        </w:rPr>
        <w:t xml:space="preserve"> the reported CQI may underestimate the actual channel quality thus degrading the PDSCH performance. Since CSI-RS is used for CSI feedback for TM9 in LTE, it seems straightforward to use also CSI-RS for the non-BL UE in TM9.</w:t>
      </w:r>
    </w:p>
    <w:p w14:paraId="671EAD2B" w14:textId="77777777" w:rsidR="008313D7" w:rsidRPr="008313D7" w:rsidRDefault="008313D7" w:rsidP="0047309A"/>
    <w:p w14:paraId="45AD6A4F" w14:textId="77777777" w:rsidR="0072484D" w:rsidRDefault="0072484D" w:rsidP="0072484D">
      <w:pPr>
        <w:widowControl w:val="0"/>
        <w:wordWrap w:val="0"/>
        <w:spacing w:after="120"/>
        <w:contextualSpacing/>
        <w:jc w:val="both"/>
        <w:rPr>
          <w:rFonts w:eastAsia="Batang"/>
          <w:snapToGrid w:val="0"/>
          <w:kern w:val="2"/>
          <w:lang w:eastAsia="ko-KR"/>
        </w:rPr>
      </w:pPr>
      <w:r>
        <w:rPr>
          <w:rFonts w:eastAsia="Batang"/>
          <w:snapToGrid w:val="0"/>
          <w:kern w:val="2"/>
          <w:lang w:eastAsia="ko-KR"/>
        </w:rPr>
        <w:t xml:space="preserve">To support feedback based on CSI-RS for the non-BL UE, the followings should be considered. </w:t>
      </w:r>
    </w:p>
    <w:p w14:paraId="6DD7BE7F" w14:textId="77777777" w:rsidR="0072484D" w:rsidRDefault="0072484D" w:rsidP="0072484D">
      <w:pPr>
        <w:widowControl w:val="0"/>
        <w:wordWrap w:val="0"/>
        <w:spacing w:after="120"/>
        <w:contextualSpacing/>
        <w:jc w:val="both"/>
        <w:rPr>
          <w:rFonts w:eastAsia="Batang"/>
          <w:snapToGrid w:val="0"/>
          <w:kern w:val="2"/>
          <w:lang w:eastAsia="ko-KR"/>
        </w:rPr>
      </w:pPr>
    </w:p>
    <w:p w14:paraId="4A02B24A" w14:textId="2FE92A42" w:rsidR="0072484D" w:rsidRDefault="0072484D" w:rsidP="0072484D">
      <w:pPr>
        <w:widowControl w:val="0"/>
        <w:wordWrap w:val="0"/>
        <w:spacing w:after="120"/>
        <w:contextualSpacing/>
        <w:jc w:val="both"/>
        <w:rPr>
          <w:rFonts w:eastAsia="Batang"/>
          <w:snapToGrid w:val="0"/>
          <w:kern w:val="2"/>
          <w:lang w:val="en-US" w:eastAsia="ko-KR"/>
        </w:rPr>
      </w:pPr>
      <w:r>
        <w:rPr>
          <w:rFonts w:eastAsia="Batang"/>
          <w:snapToGrid w:val="0"/>
          <w:kern w:val="2"/>
          <w:lang w:eastAsia="ko-KR"/>
        </w:rPr>
        <w:t xml:space="preserve">Firstly, the CSI feedback overhead will be increased. Currently, when PUCCH reporting mode 1-1 is configured, the BL/CE UE is required to report CQI and a 2-ports or 4-ports wideband PMI. When using CSI-RS for CSI feedback, the </w:t>
      </w:r>
      <w:proofErr w:type="spellStart"/>
      <w:r>
        <w:rPr>
          <w:rFonts w:eastAsia="Batang"/>
          <w:snapToGrid w:val="0"/>
          <w:kern w:val="2"/>
          <w:lang w:eastAsia="ko-KR"/>
        </w:rPr>
        <w:t>subband</w:t>
      </w:r>
      <w:proofErr w:type="spellEnd"/>
      <w:r>
        <w:rPr>
          <w:rFonts w:eastAsia="Batang"/>
          <w:snapToGrid w:val="0"/>
          <w:kern w:val="2"/>
          <w:lang w:eastAsia="ko-KR"/>
        </w:rPr>
        <w:t xml:space="preserve"> PMI feedback may need to be supported. Additionally, if up to 8 CSI-RS ports are supported then the PMI payload is increased to a maximum 8 bits. Therefore, it is not possible to feedback all the CSI including RI, CQI and PMI within one CSI report.</w:t>
      </w:r>
      <w:r w:rsidR="00513537">
        <w:rPr>
          <w:rFonts w:eastAsia="Batang"/>
          <w:snapToGrid w:val="0"/>
          <w:kern w:val="2"/>
          <w:lang w:eastAsia="ko-KR"/>
        </w:rPr>
        <w:t xml:space="preserve"> </w:t>
      </w:r>
      <w:proofErr w:type="gramStart"/>
      <w:r w:rsidR="00513537">
        <w:rPr>
          <w:rFonts w:eastAsia="Batang"/>
          <w:snapToGrid w:val="0"/>
          <w:kern w:val="2"/>
          <w:lang w:eastAsia="ko-KR"/>
        </w:rPr>
        <w:t xml:space="preserve">Similar </w:t>
      </w:r>
      <w:r>
        <w:rPr>
          <w:rFonts w:eastAsia="Batang"/>
          <w:snapToGrid w:val="0"/>
          <w:kern w:val="2"/>
          <w:lang w:eastAsia="ko-KR"/>
        </w:rPr>
        <w:t>to</w:t>
      </w:r>
      <w:proofErr w:type="gramEnd"/>
      <w:r>
        <w:rPr>
          <w:rFonts w:eastAsia="Batang"/>
          <w:snapToGrid w:val="0"/>
          <w:kern w:val="2"/>
          <w:lang w:eastAsia="ko-KR"/>
        </w:rPr>
        <w:t xml:space="preserve"> LTE, at least two reports are needed for PUCCH mode 1-1, one for RI/W1 and the other for W2/CQI. Multiple CSI reports will result in error propagation and increase the feedback latency. </w:t>
      </w:r>
    </w:p>
    <w:p w14:paraId="647E8B82" w14:textId="70C70615" w:rsidR="0072484D" w:rsidRPr="005B15F9" w:rsidRDefault="0072484D" w:rsidP="0072484D">
      <w:pPr>
        <w:pStyle w:val="LGTdoc1"/>
        <w:spacing w:before="120" w:after="220" w:afterAutospacing="0"/>
        <w:rPr>
          <w:snapToGrid/>
          <w:sz w:val="20"/>
        </w:rPr>
      </w:pPr>
      <w:r w:rsidRPr="005B15F9">
        <w:rPr>
          <w:sz w:val="20"/>
        </w:rPr>
        <w:t xml:space="preserve">Observation </w:t>
      </w:r>
      <w:r w:rsidR="00513537" w:rsidRPr="005B15F9">
        <w:rPr>
          <w:sz w:val="20"/>
        </w:rPr>
        <w:t xml:space="preserve">8. </w:t>
      </w:r>
      <w:r w:rsidRPr="005B15F9">
        <w:rPr>
          <w:sz w:val="20"/>
        </w:rPr>
        <w:t xml:space="preserve">The CSI-RS based CSI feedback will increase the feedback overhead and latency </w:t>
      </w:r>
    </w:p>
    <w:p w14:paraId="65BAF721" w14:textId="160B1273" w:rsidR="0072484D" w:rsidRDefault="0072484D" w:rsidP="0072484D">
      <w:pPr>
        <w:widowControl w:val="0"/>
        <w:wordWrap w:val="0"/>
        <w:spacing w:after="120"/>
        <w:contextualSpacing/>
        <w:jc w:val="both"/>
        <w:rPr>
          <w:rFonts w:eastAsia="Batang"/>
          <w:snapToGrid w:val="0"/>
          <w:kern w:val="2"/>
          <w:sz w:val="22"/>
          <w:lang w:eastAsia="ko-KR"/>
        </w:rPr>
      </w:pPr>
      <w:r>
        <w:rPr>
          <w:rFonts w:eastAsia="Batang"/>
          <w:snapToGrid w:val="0"/>
          <w:kern w:val="2"/>
          <w:lang w:eastAsia="ko-KR"/>
        </w:rPr>
        <w:t xml:space="preserve">Secondly, when CSI-RS is used for CSI measurement, UE may need to measure the CSI-RS in multiple subframes to derive the CQI. </w:t>
      </w:r>
      <w:r w:rsidR="00513537">
        <w:rPr>
          <w:rFonts w:eastAsia="Batang"/>
          <w:snapToGrid w:val="0"/>
          <w:kern w:val="2"/>
          <w:lang w:eastAsia="ko-KR"/>
        </w:rPr>
        <w:t>Unlike</w:t>
      </w:r>
      <w:r>
        <w:rPr>
          <w:rFonts w:eastAsia="Batang"/>
          <w:snapToGrid w:val="0"/>
          <w:kern w:val="2"/>
          <w:lang w:eastAsia="ko-KR"/>
        </w:rPr>
        <w:t xml:space="preserve"> CRS, the CSI-RS is not transmitted in every downlink subframe. The minimum CSI-RS periodicity in LTE is 5ms which means a total measurement duration of 160ms for 32 CSI subframe repetitions. The long measurement duration not only increases UE power consumption but also increase the CSI feedback latency. It is also noted that the BL/CE UE is not aware of CSI-RS and the transmission of CSI-RS will puncture the DL transmission to the BL/CE UE and thus degrade the performance.</w:t>
      </w:r>
    </w:p>
    <w:p w14:paraId="50A7A553" w14:textId="503733B2" w:rsidR="0072484D" w:rsidRPr="005B15F9" w:rsidRDefault="0072484D" w:rsidP="0072484D">
      <w:pPr>
        <w:pStyle w:val="LGTdoc1"/>
        <w:spacing w:before="120" w:after="220" w:afterAutospacing="0"/>
        <w:rPr>
          <w:snapToGrid/>
          <w:sz w:val="20"/>
        </w:rPr>
      </w:pPr>
      <w:r w:rsidRPr="005B15F9">
        <w:rPr>
          <w:sz w:val="20"/>
        </w:rPr>
        <w:t xml:space="preserve">Observation </w:t>
      </w:r>
      <w:r w:rsidR="00513537" w:rsidRPr="005B15F9">
        <w:rPr>
          <w:sz w:val="20"/>
        </w:rPr>
        <w:t>9.</w:t>
      </w:r>
      <w:r w:rsidRPr="005B15F9">
        <w:rPr>
          <w:sz w:val="20"/>
        </w:rPr>
        <w:t xml:space="preserve"> The CSI-RS based CSI feedback will affect the DL transmission to the BL/CE UE </w:t>
      </w:r>
    </w:p>
    <w:p w14:paraId="4A7E300D" w14:textId="77777777" w:rsidR="0072484D" w:rsidRDefault="0072484D" w:rsidP="0072484D">
      <w:pPr>
        <w:widowControl w:val="0"/>
        <w:wordWrap w:val="0"/>
        <w:spacing w:after="120"/>
        <w:contextualSpacing/>
        <w:jc w:val="both"/>
        <w:rPr>
          <w:rFonts w:eastAsia="Batang"/>
          <w:snapToGrid w:val="0"/>
          <w:kern w:val="2"/>
          <w:sz w:val="22"/>
          <w:lang w:eastAsia="ko-KR"/>
        </w:rPr>
      </w:pPr>
      <w:r>
        <w:rPr>
          <w:rFonts w:eastAsia="Batang"/>
          <w:snapToGrid w:val="0"/>
          <w:kern w:val="2"/>
          <w:lang w:eastAsia="ko-KR"/>
        </w:rPr>
        <w:t xml:space="preserve">Based on the above discussion, we therefore propose not to support CSI-RS based CSI feedback. </w:t>
      </w:r>
    </w:p>
    <w:p w14:paraId="5064A24C" w14:textId="31F3869E" w:rsidR="00147131" w:rsidRPr="005B15F9" w:rsidRDefault="0072484D" w:rsidP="00513537">
      <w:pPr>
        <w:pStyle w:val="LGTdoc1"/>
        <w:spacing w:before="120" w:after="220" w:afterAutospacing="0"/>
        <w:rPr>
          <w:snapToGrid/>
          <w:sz w:val="20"/>
        </w:rPr>
      </w:pPr>
      <w:r w:rsidRPr="005B15F9">
        <w:rPr>
          <w:sz w:val="20"/>
        </w:rPr>
        <w:t xml:space="preserve">Proposal </w:t>
      </w:r>
      <w:r w:rsidR="00513537" w:rsidRPr="005B15F9">
        <w:rPr>
          <w:sz w:val="20"/>
        </w:rPr>
        <w:t>6.</w:t>
      </w:r>
      <w:r w:rsidRPr="005B15F9">
        <w:rPr>
          <w:sz w:val="20"/>
        </w:rPr>
        <w:t xml:space="preserve"> CSI feedback based on CSI-RS is not supported for the non-BL UEs in CE mode A </w:t>
      </w:r>
    </w:p>
    <w:p w14:paraId="205BA438" w14:textId="4454F806" w:rsidR="00513537" w:rsidRDefault="00513537" w:rsidP="00513537">
      <w:pPr>
        <w:pStyle w:val="Heading1"/>
      </w:pPr>
      <w:r>
        <w:t>Stand-alone deployment</w:t>
      </w:r>
    </w:p>
    <w:p w14:paraId="0ABBD0D4" w14:textId="1D247D17" w:rsidR="00513537" w:rsidRDefault="00EF31E2" w:rsidP="00513537">
      <w:pPr>
        <w:rPr>
          <w:bCs/>
        </w:rPr>
      </w:pPr>
      <w:r>
        <w:rPr>
          <w:bCs/>
        </w:rPr>
        <w:t>Enable the use of LTE control channel region for DL transmission (MPDCCH/PDSCH) to BL/CE UEs</w:t>
      </w:r>
      <w:r w:rsidR="00C64DCA">
        <w:rPr>
          <w:bCs/>
        </w:rPr>
        <w:t xml:space="preserve"> improves resource utilization efficiency and is considered in R16. The agreements so far are [10]:</w:t>
      </w:r>
    </w:p>
    <w:p w14:paraId="76FAB03F" w14:textId="77777777" w:rsidR="00C64DCA" w:rsidRPr="00C64DCA" w:rsidRDefault="00C64DCA" w:rsidP="00C64DCA">
      <w:pPr>
        <w:pStyle w:val="ListParagraph"/>
        <w:numPr>
          <w:ilvl w:val="0"/>
          <w:numId w:val="36"/>
        </w:numPr>
        <w:rPr>
          <w:sz w:val="20"/>
          <w:lang w:val="en-GB" w:eastAsia="x-none"/>
        </w:rPr>
      </w:pPr>
      <w:r w:rsidRPr="00C64DCA">
        <w:rPr>
          <w:bCs/>
          <w:noProof/>
          <w:sz w:val="20"/>
          <w:lang w:eastAsia="en-GB"/>
        </w:rPr>
        <w:t>Support PDSCH broadcast transmission in LTE control channel region</w:t>
      </w:r>
    </w:p>
    <w:p w14:paraId="41AFADAC" w14:textId="77777777" w:rsidR="00C64DCA" w:rsidRPr="00C64DCA" w:rsidRDefault="00C64DCA" w:rsidP="00C64DCA">
      <w:pPr>
        <w:pStyle w:val="ListParagraph"/>
        <w:numPr>
          <w:ilvl w:val="0"/>
          <w:numId w:val="36"/>
        </w:numPr>
        <w:jc w:val="both"/>
        <w:rPr>
          <w:rFonts w:eastAsia="MS Mincho"/>
          <w:sz w:val="20"/>
          <w:lang w:eastAsia="ja-JP"/>
        </w:rPr>
      </w:pPr>
      <w:r w:rsidRPr="00C64DCA">
        <w:rPr>
          <w:rFonts w:eastAsia="MS Mincho"/>
          <w:sz w:val="20"/>
          <w:lang w:eastAsia="ja-JP"/>
        </w:rPr>
        <w:t>LTE control channel can be used for MPDCCH that is used to schedule broadcast PDSCH channel</w:t>
      </w:r>
    </w:p>
    <w:p w14:paraId="1B4CDF07" w14:textId="77777777" w:rsidR="00C64DCA" w:rsidRPr="00C64DCA" w:rsidRDefault="00C64DCA" w:rsidP="00C64DCA">
      <w:pPr>
        <w:pStyle w:val="ListParagraph"/>
        <w:numPr>
          <w:ilvl w:val="0"/>
          <w:numId w:val="36"/>
        </w:numPr>
        <w:jc w:val="both"/>
        <w:rPr>
          <w:rFonts w:eastAsia="MS Mincho"/>
          <w:sz w:val="20"/>
          <w:lang w:eastAsia="ja-JP"/>
        </w:rPr>
      </w:pPr>
      <w:r w:rsidRPr="00C64DCA">
        <w:rPr>
          <w:rFonts w:eastAsia="MS Mincho"/>
          <w:sz w:val="20"/>
          <w:lang w:eastAsia="ja-JP"/>
        </w:rPr>
        <w:t>For MPDCCH transmission in LTE control region, part of the MPDCCH are mapped into the LTE DL control region.</w:t>
      </w:r>
    </w:p>
    <w:p w14:paraId="1BDF950E" w14:textId="39D9EDAD" w:rsidR="00C64DCA" w:rsidRPr="00C64DCA" w:rsidRDefault="00C64DCA" w:rsidP="00C64DCA">
      <w:pPr>
        <w:pStyle w:val="ListParagraph"/>
        <w:numPr>
          <w:ilvl w:val="0"/>
          <w:numId w:val="36"/>
        </w:numPr>
        <w:rPr>
          <w:sz w:val="20"/>
        </w:rPr>
      </w:pPr>
      <w:r w:rsidRPr="00C64DCA">
        <w:rPr>
          <w:rFonts w:eastAsia="MS Mincho"/>
          <w:sz w:val="20"/>
          <w:lang w:eastAsia="ja-JP"/>
        </w:rPr>
        <w:t>For PDSCH transmission in LTE control region, rate-matching is done using legacy mapping then wrap around starting with OFDM symbol 0.</w:t>
      </w:r>
    </w:p>
    <w:p w14:paraId="55EA61D2" w14:textId="575B63E1" w:rsidR="00C64DCA" w:rsidRDefault="00C64DCA" w:rsidP="00C64DCA"/>
    <w:p w14:paraId="68139D8E" w14:textId="1F147E56" w:rsidR="00C64DCA" w:rsidRDefault="00C64DCA" w:rsidP="00C64DCA">
      <w:r>
        <w:t>With LTE control region used for DL transmission to BL/CE UEs, the effective code rate is lowered. For instance, for MPDCCH with K=29 bits, 16-bit CRC, aggregation level of 2, QPSK modulation and 2 CRS ports, code rate is 0.47 if LTE control region is not used</w:t>
      </w:r>
      <w:r w:rsidR="006F15AD">
        <w:t xml:space="preserve">. It decreases to 0.35 when LTE control region is used. </w:t>
      </w:r>
    </w:p>
    <w:p w14:paraId="703F6D80" w14:textId="011476E2" w:rsidR="006F15AD" w:rsidRPr="006F15AD" w:rsidRDefault="006F15AD" w:rsidP="00C64DCA">
      <w:pPr>
        <w:rPr>
          <w:b/>
        </w:rPr>
      </w:pPr>
      <w:r w:rsidRPr="006F15AD">
        <w:rPr>
          <w:b/>
        </w:rPr>
        <w:t xml:space="preserve">Observation 10. Code rate is reduced with using DL control region for DL transmission (MPDCCH/PDSCH) to BL/CE UEs. </w:t>
      </w:r>
    </w:p>
    <w:p w14:paraId="5727D84B" w14:textId="77777777" w:rsidR="006F15AD" w:rsidRDefault="006F15AD" w:rsidP="00C64DCA">
      <w:r>
        <w:t xml:space="preserve">Hence, RAN4 should define new performance requirements for UEs capable of supporting this feature. </w:t>
      </w:r>
    </w:p>
    <w:p w14:paraId="0921677D" w14:textId="05D52705" w:rsidR="006F15AD" w:rsidRDefault="006F15AD" w:rsidP="00C64DCA">
      <w:pPr>
        <w:rPr>
          <w:b/>
        </w:rPr>
      </w:pPr>
      <w:r w:rsidRPr="006F15AD">
        <w:rPr>
          <w:b/>
        </w:rPr>
        <w:t xml:space="preserve">Proposal 7. RAN4 to define new performance requirements for MPDCCH and PDSCH for UEs supporting stand-alone deployment.  </w:t>
      </w:r>
    </w:p>
    <w:p w14:paraId="5D46AF99" w14:textId="7A8BFA88" w:rsidR="00253B92" w:rsidRDefault="00253B92" w:rsidP="00253B92">
      <w:pPr>
        <w:pStyle w:val="Heading1"/>
      </w:pPr>
      <w:r>
        <w:lastRenderedPageBreak/>
        <w:t xml:space="preserve">Mobility enhancements: </w:t>
      </w:r>
    </w:p>
    <w:p w14:paraId="67173687" w14:textId="31D34209" w:rsidR="00253B92" w:rsidRDefault="00253B92" w:rsidP="00253B92">
      <w:pPr>
        <w:rPr>
          <w:b/>
          <w:i/>
          <w:sz w:val="24"/>
        </w:rPr>
      </w:pPr>
      <w:r>
        <w:rPr>
          <w:b/>
          <w:i/>
          <w:sz w:val="24"/>
        </w:rPr>
        <w:t>Use of RSS for measurement improvements:</w:t>
      </w:r>
    </w:p>
    <w:p w14:paraId="10991D87" w14:textId="069BC1F4" w:rsidR="00253B92" w:rsidRDefault="00253B92" w:rsidP="00253B92">
      <w:r>
        <w:t>This topic is discussed in source company’s reply to LS from RAN1 (R1-1811934) [11]. Conclusions are summarized here for reference.</w:t>
      </w:r>
    </w:p>
    <w:p w14:paraId="206C604B" w14:textId="78B6EEFD" w:rsidR="00253B92" w:rsidRDefault="00253B92" w:rsidP="00253B92"/>
    <w:p w14:paraId="1CFB66A2" w14:textId="739D1F1A" w:rsidR="00253B92" w:rsidRDefault="00253B92" w:rsidP="00253B92"/>
    <w:p w14:paraId="6DBF28DF" w14:textId="6AF39FB5" w:rsidR="00253B92" w:rsidRDefault="00253B92" w:rsidP="00253B92">
      <w:pPr>
        <w:rPr>
          <w:b/>
          <w:bCs/>
          <w:i/>
          <w:sz w:val="24"/>
        </w:rPr>
      </w:pPr>
      <w:r w:rsidRPr="00253B92">
        <w:rPr>
          <w:b/>
          <w:bCs/>
          <w:i/>
          <w:sz w:val="24"/>
        </w:rPr>
        <w:t>Relaxation of RRM measurements for serving cell for UEs using WUS</w:t>
      </w:r>
      <w:r>
        <w:rPr>
          <w:b/>
          <w:bCs/>
          <w:i/>
          <w:sz w:val="24"/>
        </w:rPr>
        <w:t>:</w:t>
      </w:r>
    </w:p>
    <w:p w14:paraId="1F42DB77" w14:textId="04925206" w:rsidR="00253B92" w:rsidRDefault="006B7BBC" w:rsidP="00253B92">
      <w:r>
        <w:t xml:space="preserve">This is </w:t>
      </w:r>
      <w:proofErr w:type="gramStart"/>
      <w:r>
        <w:t>similar to</w:t>
      </w:r>
      <w:proofErr w:type="gramEnd"/>
      <w:r>
        <w:t xml:space="preserve"> </w:t>
      </w:r>
      <w:r w:rsidR="00C55241">
        <w:t xml:space="preserve">R15 feature of the same nature in NB-IoT with requirements defined in TS36.133 Section 4.6.2.1A for normal coverage and Section 4.6.2.3A for enhanced coverage. Relaxation of RRM measurements for serving cell for UEs using WUS brings power saving gains. RAN4 has defined the conditions for UE entering relaxed RRM measurement state for serving cell in addition to relaxation factor (N). Similar requirements should be defined for </w:t>
      </w:r>
      <w:proofErr w:type="spellStart"/>
      <w:r w:rsidR="00C55241">
        <w:t>eMTC</w:t>
      </w:r>
      <w:proofErr w:type="spellEnd"/>
      <w:r w:rsidR="00C55241">
        <w:t xml:space="preserve"> in Sections 4.7.2.1.1 and 4.7.2.2.1. </w:t>
      </w:r>
    </w:p>
    <w:p w14:paraId="7C615FD5" w14:textId="60BE1C3C" w:rsidR="00C55241" w:rsidRPr="00C55241" w:rsidRDefault="00C55241" w:rsidP="00253B92">
      <w:pPr>
        <w:rPr>
          <w:b/>
        </w:rPr>
      </w:pPr>
      <w:r w:rsidRPr="00C55241">
        <w:rPr>
          <w:b/>
        </w:rPr>
        <w:t xml:space="preserve">Proposal. RAN4 to define conditions for entering relaxed RRM measurement state for serving and relaxation factor (N) for normal and enhanced coverage in Sections 4.6.2.1.1 and 4.7.2.2.1. </w:t>
      </w:r>
    </w:p>
    <w:p w14:paraId="784E0F8C" w14:textId="59A16E50" w:rsidR="00C55241" w:rsidRDefault="00C55241" w:rsidP="00253B92"/>
    <w:p w14:paraId="2111CFD3" w14:textId="13BFEADE" w:rsidR="005035F6" w:rsidRDefault="005035F6" w:rsidP="005035F6">
      <w:pPr>
        <w:pStyle w:val="Heading1"/>
      </w:pPr>
      <w:r>
        <w:t>Conclusions</w:t>
      </w:r>
    </w:p>
    <w:p w14:paraId="44A2025E" w14:textId="15EF20B7" w:rsidR="005035F6" w:rsidRDefault="005035F6" w:rsidP="005035F6">
      <w:r>
        <w:t>On support for MSG3 quality report:</w:t>
      </w:r>
    </w:p>
    <w:p w14:paraId="150EBA04" w14:textId="77777777" w:rsidR="005035F6" w:rsidRPr="00E76365" w:rsidRDefault="005035F6" w:rsidP="005035F6">
      <w:pPr>
        <w:rPr>
          <w:b/>
        </w:rPr>
      </w:pPr>
      <w:r w:rsidRPr="00E76365">
        <w:rPr>
          <w:b/>
        </w:rPr>
        <w:t xml:space="preserve">Observation 1. DL channel quality report for CE mode A is the repetition number and/or aggregation level that UE needs to decode hypothetical MPDCCH with BLER 1%. For CE mode B, it is the repetition number that UE recommends </w:t>
      </w:r>
      <w:proofErr w:type="gramStart"/>
      <w:r w:rsidRPr="00E76365">
        <w:rPr>
          <w:b/>
        </w:rPr>
        <w:t>to achieve</w:t>
      </w:r>
      <w:proofErr w:type="gramEnd"/>
      <w:r w:rsidRPr="00E76365">
        <w:rPr>
          <w:b/>
        </w:rPr>
        <w:t xml:space="preserve"> a hypothetical MPDCCH decoding with BLER 1%. NBs to measure and </w:t>
      </w:r>
      <w:proofErr w:type="spellStart"/>
      <w:r w:rsidRPr="00E76365">
        <w:rPr>
          <w:b/>
        </w:rPr>
        <w:t>bitwidth</w:t>
      </w:r>
      <w:proofErr w:type="spellEnd"/>
      <w:r w:rsidRPr="00E76365">
        <w:rPr>
          <w:b/>
        </w:rPr>
        <w:t xml:space="preserve"> of the reporting field are still being discussed. </w:t>
      </w:r>
    </w:p>
    <w:p w14:paraId="0E3DF2E6" w14:textId="77777777" w:rsidR="005035F6" w:rsidRPr="00425E78" w:rsidRDefault="005035F6" w:rsidP="005035F6">
      <w:pPr>
        <w:rPr>
          <w:b/>
        </w:rPr>
      </w:pPr>
      <w:r w:rsidRPr="00425E78">
        <w:rPr>
          <w:b/>
        </w:rPr>
        <w:t xml:space="preserve">Proposal 1. RAN4 should discuss hypothetical MPDCCH parameters for DL channel quality report in CE mode A and B, NB(s) to measure for reporting, reporting format tables, time period(s) over which measurements over NB(s) can be performed, and methods of reporting in case multiple NBs are measured. </w:t>
      </w:r>
    </w:p>
    <w:p w14:paraId="11C6DCBB" w14:textId="34299DA6" w:rsidR="005035F6" w:rsidRDefault="005035F6" w:rsidP="005035F6">
      <w:r>
        <w:t>On MPDCCH performance improvement by using CRS:</w:t>
      </w:r>
    </w:p>
    <w:p w14:paraId="5F6BB178" w14:textId="77777777" w:rsidR="005035F6" w:rsidRPr="0061593D" w:rsidRDefault="005035F6" w:rsidP="005035F6">
      <w:pPr>
        <w:rPr>
          <w:b/>
        </w:rPr>
      </w:pPr>
      <w:r w:rsidRPr="0061593D">
        <w:rPr>
          <w:b/>
        </w:rPr>
        <w:t xml:space="preserve">Observation 2. Using CRS for MPDCCH decoding results in significant performance improvement. </w:t>
      </w:r>
    </w:p>
    <w:p w14:paraId="074ED54C" w14:textId="77777777" w:rsidR="005035F6" w:rsidRPr="00664489" w:rsidRDefault="005035F6" w:rsidP="005035F6">
      <w:pPr>
        <w:rPr>
          <w:b/>
        </w:rPr>
      </w:pPr>
      <w:r w:rsidRPr="00664489">
        <w:rPr>
          <w:b/>
        </w:rPr>
        <w:t xml:space="preserve">Proposal 2. RAN4 should define new requirements for at least a subset of MPDCCH tests in Section 8.11.2 of 36.101 for UE that </w:t>
      </w:r>
      <w:proofErr w:type="gramStart"/>
      <w:r w:rsidRPr="00664489">
        <w:rPr>
          <w:b/>
        </w:rPr>
        <w:t>is capable of using</w:t>
      </w:r>
      <w:proofErr w:type="gramEnd"/>
      <w:r w:rsidRPr="00664489">
        <w:rPr>
          <w:b/>
        </w:rPr>
        <w:t xml:space="preserve"> CRS for MPDCCH decoding. New requirements may have to be different for UEs that are capable of CRS IM or not since CRS transmission is present in only N1=1 subframe before start of MPDCCH.  </w:t>
      </w:r>
    </w:p>
    <w:p w14:paraId="3B91B223" w14:textId="1DF5D0B1" w:rsidR="005035F6" w:rsidRDefault="005035F6" w:rsidP="005035F6">
      <w:r>
        <w:t>On support of UE-group MWUS:</w:t>
      </w:r>
    </w:p>
    <w:p w14:paraId="7C763D31" w14:textId="77777777" w:rsidR="005035F6" w:rsidRPr="00114CF3" w:rsidRDefault="005035F6" w:rsidP="005035F6">
      <w:pPr>
        <w:rPr>
          <w:b/>
        </w:rPr>
      </w:pPr>
      <w:r w:rsidRPr="00114CF3">
        <w:rPr>
          <w:b/>
        </w:rPr>
        <w:t xml:space="preserve">Observation </w:t>
      </w:r>
      <w:r>
        <w:rPr>
          <w:b/>
        </w:rPr>
        <w:t>3</w:t>
      </w:r>
      <w:r w:rsidRPr="00114CF3">
        <w:rPr>
          <w:b/>
        </w:rPr>
        <w:t xml:space="preserve">. R16 UE needs to monitor at least two types of </w:t>
      </w:r>
      <w:r>
        <w:rPr>
          <w:b/>
        </w:rPr>
        <w:t>M</w:t>
      </w:r>
      <w:r w:rsidRPr="00114CF3">
        <w:rPr>
          <w:b/>
        </w:rPr>
        <w:t xml:space="preserve">WUS: legacy (or common) </w:t>
      </w:r>
      <w:r>
        <w:rPr>
          <w:b/>
        </w:rPr>
        <w:t>M</w:t>
      </w:r>
      <w:r w:rsidRPr="00114CF3">
        <w:rPr>
          <w:b/>
        </w:rPr>
        <w:t xml:space="preserve">WUS and UE-group </w:t>
      </w:r>
      <w:r>
        <w:rPr>
          <w:b/>
        </w:rPr>
        <w:t>M</w:t>
      </w:r>
      <w:r w:rsidRPr="00114CF3">
        <w:rPr>
          <w:b/>
        </w:rPr>
        <w:t xml:space="preserve">WUS. Depending on their multiplexing scheme, there may be an impact on PFA </w:t>
      </w:r>
      <w:r>
        <w:rPr>
          <w:b/>
        </w:rPr>
        <w:t>and/</w:t>
      </w:r>
      <w:r w:rsidRPr="00114CF3">
        <w:rPr>
          <w:b/>
        </w:rPr>
        <w:t xml:space="preserve">or </w:t>
      </w:r>
      <w:proofErr w:type="spellStart"/>
      <w:r w:rsidRPr="00114CF3">
        <w:rPr>
          <w:b/>
        </w:rPr>
        <w:t>Pmis</w:t>
      </w:r>
      <w:proofErr w:type="spellEnd"/>
      <w:r w:rsidRPr="00114CF3">
        <w:rPr>
          <w:b/>
        </w:rPr>
        <w:t xml:space="preserve"> when UE </w:t>
      </w:r>
      <w:proofErr w:type="gramStart"/>
      <w:r w:rsidRPr="00114CF3">
        <w:rPr>
          <w:b/>
        </w:rPr>
        <w:t>has to</w:t>
      </w:r>
      <w:proofErr w:type="gramEnd"/>
      <w:r w:rsidRPr="00114CF3">
        <w:rPr>
          <w:b/>
        </w:rPr>
        <w:t xml:space="preserve"> monitor common or both common and UE-group based </w:t>
      </w:r>
      <w:r>
        <w:rPr>
          <w:b/>
        </w:rPr>
        <w:t>M</w:t>
      </w:r>
      <w:r w:rsidRPr="00114CF3">
        <w:rPr>
          <w:b/>
        </w:rPr>
        <w:t>WUS.</w:t>
      </w:r>
    </w:p>
    <w:p w14:paraId="7E9C06E1" w14:textId="77777777" w:rsidR="005035F6" w:rsidRDefault="005035F6" w:rsidP="005035F6">
      <w:pPr>
        <w:rPr>
          <w:b/>
        </w:rPr>
      </w:pPr>
      <w:r w:rsidRPr="00C10EE8">
        <w:rPr>
          <w:b/>
        </w:rPr>
        <w:t>Proposal 3.</w:t>
      </w:r>
      <w:r>
        <w:t xml:space="preserve"> </w:t>
      </w:r>
      <w:r w:rsidRPr="002A6CE5">
        <w:rPr>
          <w:b/>
        </w:rPr>
        <w:t>For R16, at least similar requirements (</w:t>
      </w:r>
      <w:r>
        <w:rPr>
          <w:b/>
        </w:rPr>
        <w:t>M</w:t>
      </w:r>
      <w:r w:rsidRPr="002A6CE5">
        <w:rPr>
          <w:b/>
        </w:rPr>
        <w:t xml:space="preserve">WUS minimum number of repetitions) need to be defined for UE-group </w:t>
      </w:r>
      <w:r>
        <w:rPr>
          <w:b/>
        </w:rPr>
        <w:t>M</w:t>
      </w:r>
      <w:r w:rsidRPr="002A6CE5">
        <w:rPr>
          <w:b/>
        </w:rPr>
        <w:t xml:space="preserve">WUS. </w:t>
      </w:r>
    </w:p>
    <w:p w14:paraId="7A53D097" w14:textId="1C0EAFF8" w:rsidR="005035F6" w:rsidRDefault="005B15F9" w:rsidP="005035F6">
      <w:r>
        <w:t>On support for PUR:</w:t>
      </w:r>
    </w:p>
    <w:p w14:paraId="56CD7469" w14:textId="77777777" w:rsidR="005B15F9" w:rsidRPr="00766454" w:rsidRDefault="005B15F9" w:rsidP="005B15F9">
      <w:pPr>
        <w:rPr>
          <w:b/>
        </w:rPr>
      </w:pPr>
      <w:r w:rsidRPr="00766454">
        <w:rPr>
          <w:b/>
        </w:rPr>
        <w:t>Observation</w:t>
      </w:r>
      <w:r>
        <w:rPr>
          <w:b/>
        </w:rPr>
        <w:t xml:space="preserve"> 4</w:t>
      </w:r>
      <w:r w:rsidRPr="00766454">
        <w:rPr>
          <w:b/>
        </w:rPr>
        <w:t xml:space="preserve">. In idle mode, serving cell RSRP change is supported as an attribute for TA validation. Serving cell RSRP change can be measured in absolute or relative manner. The advantage of differential (relative) RSRP measurement is removal of persistent bias in measurement accuracy. </w:t>
      </w:r>
    </w:p>
    <w:p w14:paraId="22F7CE5E" w14:textId="77777777" w:rsidR="005B15F9" w:rsidRPr="00766454" w:rsidRDefault="005B15F9" w:rsidP="005B15F9">
      <w:pPr>
        <w:rPr>
          <w:b/>
        </w:rPr>
      </w:pPr>
      <w:r w:rsidRPr="00766454">
        <w:rPr>
          <w:b/>
        </w:rPr>
        <w:lastRenderedPageBreak/>
        <w:t>Proposal</w:t>
      </w:r>
      <w:r>
        <w:rPr>
          <w:b/>
        </w:rPr>
        <w:t xml:space="preserve"> 4</w:t>
      </w:r>
      <w:r w:rsidRPr="00766454">
        <w:rPr>
          <w:b/>
        </w:rPr>
        <w:t>. Serving cell differential (relative) RSRP change to be used for TA validation. Existing requirements in Section 9.1.2</w:t>
      </w:r>
      <w:r>
        <w:rPr>
          <w:b/>
        </w:rPr>
        <w:t>1</w:t>
      </w:r>
      <w:r w:rsidRPr="00766454">
        <w:rPr>
          <w:b/>
        </w:rPr>
        <w:t xml:space="preserve"> of 36.133 for intra-frequency </w:t>
      </w:r>
      <w:r>
        <w:rPr>
          <w:b/>
        </w:rPr>
        <w:t>relative</w:t>
      </w:r>
      <w:r w:rsidRPr="00766454">
        <w:rPr>
          <w:b/>
        </w:rPr>
        <w:t xml:space="preserve"> measurement accuracy may be used as a starting point.  </w:t>
      </w:r>
    </w:p>
    <w:p w14:paraId="7A818B64" w14:textId="570E1262" w:rsidR="005B15F9" w:rsidRDefault="005B15F9" w:rsidP="005035F6">
      <w:r>
        <w:t>On extreme coverage for non-BL UEs:</w:t>
      </w:r>
    </w:p>
    <w:p w14:paraId="37A21284" w14:textId="77777777" w:rsidR="005B15F9" w:rsidRPr="005B15F9" w:rsidRDefault="005B15F9" w:rsidP="005B15F9">
      <w:pPr>
        <w:pStyle w:val="LGTdoc1"/>
        <w:spacing w:before="120" w:after="220" w:afterAutospacing="0"/>
        <w:rPr>
          <w:sz w:val="20"/>
          <w:lang w:val="en-US"/>
        </w:rPr>
      </w:pPr>
      <w:r w:rsidRPr="005B15F9">
        <w:rPr>
          <w:sz w:val="20"/>
        </w:rPr>
        <w:t xml:space="preserve">Observation 5. Dual-layer downlink transmission performs much worse than single layer for the SNR range from -5dB to 0dB. </w:t>
      </w:r>
    </w:p>
    <w:p w14:paraId="0DD84610" w14:textId="77777777" w:rsidR="005B15F9" w:rsidRPr="005B15F9" w:rsidRDefault="005B15F9" w:rsidP="005B15F9">
      <w:pPr>
        <w:pStyle w:val="LGTdoc1"/>
        <w:spacing w:before="120" w:after="220" w:afterAutospacing="0"/>
        <w:rPr>
          <w:sz w:val="20"/>
        </w:rPr>
      </w:pPr>
      <w:r w:rsidRPr="005B15F9">
        <w:rPr>
          <w:sz w:val="20"/>
        </w:rPr>
        <w:t xml:space="preserve">Observation 6: No throughput gain is observed for TM3 dual layer transmission over TM2 transmission under extended coverage. </w:t>
      </w:r>
    </w:p>
    <w:p w14:paraId="6BB16D47" w14:textId="77777777" w:rsidR="005B15F9" w:rsidRDefault="005B15F9" w:rsidP="005B15F9">
      <w:pPr>
        <w:widowControl w:val="0"/>
        <w:wordWrap w:val="0"/>
        <w:spacing w:after="120"/>
        <w:contextualSpacing/>
        <w:jc w:val="both"/>
        <w:rPr>
          <w:rFonts w:eastAsia="Batang"/>
          <w:b/>
          <w:snapToGrid w:val="0"/>
          <w:u w:val="single"/>
          <w:lang w:eastAsia="ko-KR"/>
        </w:rPr>
      </w:pPr>
      <w:r w:rsidRPr="00C45469">
        <w:rPr>
          <w:rFonts w:eastAsia="Batang"/>
          <w:b/>
          <w:snapToGrid w:val="0"/>
          <w:lang w:eastAsia="ko-KR"/>
        </w:rPr>
        <w:t>Observation 7</w:t>
      </w:r>
      <w:r>
        <w:rPr>
          <w:rFonts w:eastAsia="Batang"/>
          <w:b/>
          <w:snapToGrid w:val="0"/>
          <w:lang w:eastAsia="ko-KR"/>
        </w:rPr>
        <w:t>.</w:t>
      </w:r>
      <w:r w:rsidRPr="00C45469">
        <w:rPr>
          <w:rFonts w:eastAsia="Batang"/>
          <w:b/>
          <w:snapToGrid w:val="0"/>
          <w:lang w:eastAsia="ko-KR"/>
        </w:rPr>
        <w:t xml:space="preserve"> </w:t>
      </w:r>
      <w:r>
        <w:rPr>
          <w:rFonts w:eastAsia="Batang"/>
          <w:b/>
          <w:snapToGrid w:val="0"/>
          <w:lang w:eastAsia="ko-KR"/>
        </w:rPr>
        <w:t>No power saving is observed for narrowband MPDCCH monitoring compared to wideband PDCCH monitoring at the high SNR.</w:t>
      </w:r>
    </w:p>
    <w:p w14:paraId="141C354A" w14:textId="77777777" w:rsidR="005B15F9" w:rsidRPr="005B15F9" w:rsidRDefault="005B15F9" w:rsidP="005B15F9">
      <w:pPr>
        <w:pStyle w:val="LGTdoc1"/>
        <w:spacing w:before="120" w:after="220" w:afterAutospacing="0"/>
        <w:rPr>
          <w:snapToGrid/>
          <w:sz w:val="20"/>
        </w:rPr>
      </w:pPr>
      <w:r w:rsidRPr="005B15F9">
        <w:rPr>
          <w:sz w:val="20"/>
        </w:rPr>
        <w:t xml:space="preserve">Proposal 5. Dual layer downlink reception is not supported for the non-BL UEs in CE mode A </w:t>
      </w:r>
    </w:p>
    <w:p w14:paraId="71D882E5" w14:textId="77777777" w:rsidR="005B15F9" w:rsidRPr="005B15F9" w:rsidRDefault="005B15F9" w:rsidP="005B15F9">
      <w:pPr>
        <w:pStyle w:val="LGTdoc1"/>
        <w:spacing w:before="120" w:after="220" w:afterAutospacing="0"/>
        <w:rPr>
          <w:snapToGrid/>
          <w:sz w:val="20"/>
        </w:rPr>
      </w:pPr>
      <w:r w:rsidRPr="005B15F9">
        <w:rPr>
          <w:sz w:val="20"/>
        </w:rPr>
        <w:t xml:space="preserve">Observation 8. The CSI-RS based CSI feedback will increase the feedback overhead and latency </w:t>
      </w:r>
    </w:p>
    <w:p w14:paraId="387308A6" w14:textId="77777777" w:rsidR="005B15F9" w:rsidRPr="005B15F9" w:rsidRDefault="005B15F9" w:rsidP="005B15F9">
      <w:pPr>
        <w:pStyle w:val="LGTdoc1"/>
        <w:spacing w:before="120" w:after="220" w:afterAutospacing="0"/>
        <w:rPr>
          <w:snapToGrid/>
          <w:sz w:val="20"/>
        </w:rPr>
      </w:pPr>
      <w:r w:rsidRPr="005B15F9">
        <w:rPr>
          <w:sz w:val="20"/>
        </w:rPr>
        <w:t xml:space="preserve">Observation 9. The CSI-RS based CSI feedback will affect the DL transmission to the BL/CE UE </w:t>
      </w:r>
    </w:p>
    <w:p w14:paraId="4762E536" w14:textId="77777777" w:rsidR="005B15F9" w:rsidRPr="005B15F9" w:rsidRDefault="005B15F9" w:rsidP="005B15F9">
      <w:pPr>
        <w:pStyle w:val="LGTdoc1"/>
        <w:spacing w:before="120" w:after="220" w:afterAutospacing="0"/>
        <w:rPr>
          <w:snapToGrid/>
          <w:sz w:val="20"/>
        </w:rPr>
      </w:pPr>
      <w:r w:rsidRPr="005B15F9">
        <w:rPr>
          <w:sz w:val="20"/>
        </w:rPr>
        <w:t xml:space="preserve">Proposal 6. CSI feedback based on CSI-RS is not supported for the non-BL UEs in CE mode A </w:t>
      </w:r>
    </w:p>
    <w:p w14:paraId="51E41FBA" w14:textId="54624711" w:rsidR="005B15F9" w:rsidRDefault="005B15F9" w:rsidP="005035F6">
      <w:r>
        <w:t>On stand-alone deployment:</w:t>
      </w:r>
    </w:p>
    <w:p w14:paraId="0471D4B2" w14:textId="77777777" w:rsidR="005B15F9" w:rsidRPr="006F15AD" w:rsidRDefault="005B15F9" w:rsidP="005B15F9">
      <w:pPr>
        <w:rPr>
          <w:b/>
        </w:rPr>
      </w:pPr>
      <w:r w:rsidRPr="006F15AD">
        <w:rPr>
          <w:b/>
        </w:rPr>
        <w:t xml:space="preserve">Observation 10. Code rate is reduced with using DL control region for DL transmission (MPDCCH/PDSCH) to BL/CE UEs. </w:t>
      </w:r>
    </w:p>
    <w:p w14:paraId="00F4283E" w14:textId="77777777" w:rsidR="005B15F9" w:rsidRDefault="005B15F9" w:rsidP="005B15F9">
      <w:pPr>
        <w:rPr>
          <w:b/>
        </w:rPr>
      </w:pPr>
      <w:r w:rsidRPr="006F15AD">
        <w:rPr>
          <w:b/>
        </w:rPr>
        <w:t xml:space="preserve">Proposal 7. RAN4 to define new performance requirements for MPDCCH and PDSCH for UEs supporting stand-alone deployment.  </w:t>
      </w:r>
    </w:p>
    <w:p w14:paraId="594D458B" w14:textId="2DE1BE31" w:rsidR="005B15F9" w:rsidRDefault="005B15F9" w:rsidP="005035F6">
      <w:r>
        <w:t>On mobility enhancements:</w:t>
      </w:r>
    </w:p>
    <w:p w14:paraId="484A22F6" w14:textId="5F2C03F1" w:rsidR="005B15F9" w:rsidRDefault="005B15F9" w:rsidP="005035F6"/>
    <w:p w14:paraId="38FDF9D7" w14:textId="77777777" w:rsidR="005B15F9" w:rsidRPr="00C55241" w:rsidRDefault="005B15F9" w:rsidP="005B15F9">
      <w:pPr>
        <w:rPr>
          <w:b/>
        </w:rPr>
      </w:pPr>
      <w:r w:rsidRPr="00C55241">
        <w:rPr>
          <w:b/>
        </w:rPr>
        <w:t xml:space="preserve">Proposal. RAN4 to define conditions for entering relaxed RRM measurement state for serving and relaxation factor (N) for normal and enhanced coverage in Sections 4.6.2.1.1 and 4.7.2.2.1. </w:t>
      </w:r>
    </w:p>
    <w:p w14:paraId="36A026D1" w14:textId="77777777" w:rsidR="005B15F9" w:rsidRPr="005035F6" w:rsidRDefault="005B15F9" w:rsidP="005035F6"/>
    <w:p w14:paraId="0C633F9D" w14:textId="77777777" w:rsidR="00797CE5" w:rsidRDefault="00797CE5" w:rsidP="006050F7">
      <w:pPr>
        <w:pStyle w:val="Heading1"/>
        <w:numPr>
          <w:ilvl w:val="0"/>
          <w:numId w:val="0"/>
        </w:numPr>
        <w:rPr>
          <w:lang w:val="en-US"/>
        </w:rPr>
      </w:pPr>
      <w:r>
        <w:rPr>
          <w:lang w:val="en-US"/>
        </w:rPr>
        <w:t>References</w:t>
      </w:r>
    </w:p>
    <w:p w14:paraId="42C8D945" w14:textId="79E2435C" w:rsidR="00527277" w:rsidRDefault="00E7044A" w:rsidP="00797CE5">
      <w:r>
        <w:t xml:space="preserve">[1] </w:t>
      </w:r>
      <w:r w:rsidR="00AD6228">
        <w:t>RP-182</w:t>
      </w:r>
      <w:r w:rsidR="0067035F">
        <w:t>891</w:t>
      </w:r>
    </w:p>
    <w:p w14:paraId="783F18AE" w14:textId="4960B9FD" w:rsidR="00DF4917" w:rsidRDefault="00DF4917" w:rsidP="00797CE5">
      <w:r>
        <w:t>[2] R1-1811691</w:t>
      </w:r>
    </w:p>
    <w:p w14:paraId="1ECBF142" w14:textId="1B768D92" w:rsidR="00DF4917" w:rsidRDefault="00DF4917" w:rsidP="00797CE5">
      <w:r>
        <w:t>[3] R1-</w:t>
      </w:r>
      <w:r w:rsidR="003044BF">
        <w:t>1813741</w:t>
      </w:r>
    </w:p>
    <w:p w14:paraId="2E21EA24" w14:textId="069E7B0C" w:rsidR="00683038" w:rsidRDefault="00683038" w:rsidP="00797CE5">
      <w:r>
        <w:t>[4] R1-1813739</w:t>
      </w:r>
    </w:p>
    <w:p w14:paraId="08E33189" w14:textId="7A3F3FE8" w:rsidR="00C2734C" w:rsidRDefault="00C2734C" w:rsidP="00797CE5">
      <w:r>
        <w:t>[5] R1-1809521</w:t>
      </w:r>
    </w:p>
    <w:p w14:paraId="6783B305" w14:textId="06B00181" w:rsidR="00C2734C" w:rsidRDefault="00C2734C" w:rsidP="00797CE5">
      <w:r>
        <w:t>[6] R1-1811658</w:t>
      </w:r>
    </w:p>
    <w:p w14:paraId="293675C0" w14:textId="538F3E6C" w:rsidR="00ED10A7" w:rsidRDefault="00ED10A7" w:rsidP="00797CE5">
      <w:r>
        <w:t>[7] R1-181</w:t>
      </w:r>
      <w:r w:rsidR="00856C05">
        <w:t>3038</w:t>
      </w:r>
    </w:p>
    <w:p w14:paraId="6A9B5D98" w14:textId="4784F804" w:rsidR="00A20D2B" w:rsidRDefault="00147131" w:rsidP="00797CE5">
      <w:pPr>
        <w:rPr>
          <w:lang w:val="en-US"/>
        </w:rPr>
      </w:pPr>
      <w:r>
        <w:rPr>
          <w:lang w:val="en-US"/>
        </w:rPr>
        <w:t>[8] R1-1813725</w:t>
      </w:r>
    </w:p>
    <w:p w14:paraId="532B95EE" w14:textId="6B65E850" w:rsidR="00395354" w:rsidRDefault="00395354" w:rsidP="00797CE5">
      <w:pPr>
        <w:rPr>
          <w:lang w:val="en-US"/>
        </w:rPr>
      </w:pPr>
      <w:r>
        <w:rPr>
          <w:lang w:val="en-US"/>
        </w:rPr>
        <w:t>[9] R1-1813044</w:t>
      </w:r>
    </w:p>
    <w:p w14:paraId="3F8E480A" w14:textId="141713E9" w:rsidR="00C64DCA" w:rsidRDefault="00C64DCA" w:rsidP="00797CE5">
      <w:pPr>
        <w:rPr>
          <w:lang w:val="en-US"/>
        </w:rPr>
      </w:pPr>
      <w:r>
        <w:rPr>
          <w:lang w:val="en-US"/>
        </w:rPr>
        <w:t>[10] R1-1813724</w:t>
      </w:r>
    </w:p>
    <w:p w14:paraId="54639FCB" w14:textId="4113F111" w:rsidR="00253B92" w:rsidRDefault="00253B92" w:rsidP="00797CE5">
      <w:pPr>
        <w:rPr>
          <w:lang w:val="en-US"/>
        </w:rPr>
      </w:pPr>
      <w:r>
        <w:rPr>
          <w:lang w:val="en-US"/>
        </w:rPr>
        <w:lastRenderedPageBreak/>
        <w:t>[11] R4-1</w:t>
      </w:r>
      <w:r w:rsidR="008B2562">
        <w:rPr>
          <w:lang w:val="en-US"/>
        </w:rPr>
        <w:t>900334</w:t>
      </w:r>
      <w:bookmarkStart w:id="9" w:name="_GoBack"/>
      <w:bookmarkEnd w:id="9"/>
    </w:p>
    <w:sectPr w:rsidR="00253B92" w:rsidSect="00571A0A">
      <w:footerReference w:type="even" r:id="rId15"/>
      <w:footerReference w:type="defaul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E71E9" w14:textId="77777777" w:rsidR="007C5259" w:rsidRDefault="007C5259">
      <w:r>
        <w:separator/>
      </w:r>
    </w:p>
  </w:endnote>
  <w:endnote w:type="continuationSeparator" w:id="0">
    <w:p w14:paraId="39FB3EF9" w14:textId="77777777" w:rsidR="007C5259" w:rsidRDefault="007C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5527EC" w:rsidRDefault="005527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5527EC" w:rsidRDefault="00552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5527EC" w:rsidRDefault="005527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5527EC" w:rsidRDefault="005527E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49401" w14:textId="77777777" w:rsidR="007C5259" w:rsidRDefault="007C5259">
      <w:r>
        <w:separator/>
      </w:r>
    </w:p>
  </w:footnote>
  <w:footnote w:type="continuationSeparator" w:id="0">
    <w:p w14:paraId="337D20A9" w14:textId="77777777" w:rsidR="007C5259" w:rsidRDefault="007C5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F861F0"/>
    <w:multiLevelType w:val="hybridMultilevel"/>
    <w:tmpl w:val="F072E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356F6A"/>
    <w:multiLevelType w:val="hybridMultilevel"/>
    <w:tmpl w:val="FE049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F441A4"/>
    <w:multiLevelType w:val="hybridMultilevel"/>
    <w:tmpl w:val="CA046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F4CAB"/>
    <w:multiLevelType w:val="hybridMultilevel"/>
    <w:tmpl w:val="E89899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359F"/>
    <w:multiLevelType w:val="hybridMultilevel"/>
    <w:tmpl w:val="B40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671BC"/>
    <w:multiLevelType w:val="hybridMultilevel"/>
    <w:tmpl w:val="11123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A4FD9"/>
    <w:multiLevelType w:val="hybridMultilevel"/>
    <w:tmpl w:val="FF0E8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116"/>
        </w:tabs>
        <w:ind w:left="10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D77A1B"/>
    <w:multiLevelType w:val="hybridMultilevel"/>
    <w:tmpl w:val="CA163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D12F0"/>
    <w:multiLevelType w:val="hybridMultilevel"/>
    <w:tmpl w:val="77C06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D6E08E7"/>
    <w:multiLevelType w:val="hybridMultilevel"/>
    <w:tmpl w:val="75D6F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E6564"/>
    <w:multiLevelType w:val="hybridMultilevel"/>
    <w:tmpl w:val="0C6CC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4A16E2"/>
    <w:multiLevelType w:val="hybridMultilevel"/>
    <w:tmpl w:val="52087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81248"/>
    <w:multiLevelType w:val="hybridMultilevel"/>
    <w:tmpl w:val="095A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21D8D"/>
    <w:multiLevelType w:val="hybridMultilevel"/>
    <w:tmpl w:val="D5DC0D7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7"/>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
  </w:num>
  <w:num w:numId="8">
    <w:abstractNumId w:val="20"/>
  </w:num>
  <w:num w:numId="9">
    <w:abstractNumId w:val="6"/>
  </w:num>
  <w:num w:numId="10">
    <w:abstractNumId w:val="13"/>
  </w:num>
  <w:num w:numId="11">
    <w:abstractNumId w:val="7"/>
  </w:num>
  <w:num w:numId="12">
    <w:abstractNumId w:val="17"/>
  </w:num>
  <w:num w:numId="13">
    <w:abstractNumId w:val="21"/>
  </w:num>
  <w:num w:numId="14">
    <w:abstractNumId w:val="22"/>
  </w:num>
  <w:num w:numId="15">
    <w:abstractNumId w:val="28"/>
  </w:num>
  <w:num w:numId="16">
    <w:abstractNumId w:val="5"/>
  </w:num>
  <w:num w:numId="17">
    <w:abstractNumId w:val="25"/>
  </w:num>
  <w:num w:numId="18">
    <w:abstractNumId w:val="24"/>
  </w:num>
  <w:num w:numId="19">
    <w:abstractNumId w:val="18"/>
  </w:num>
  <w:num w:numId="20">
    <w:abstractNumId w:val="12"/>
  </w:num>
  <w:num w:numId="21">
    <w:abstractNumId w:val="2"/>
  </w:num>
  <w:num w:numId="22">
    <w:abstractNumId w:val="20"/>
  </w:num>
  <w:num w:numId="23">
    <w:abstractNumId w:val="6"/>
  </w:num>
  <w:num w:numId="24">
    <w:abstractNumId w:val="4"/>
  </w:num>
  <w:num w:numId="25">
    <w:abstractNumId w:val="13"/>
  </w:num>
  <w:num w:numId="26">
    <w:abstractNumId w:val="4"/>
  </w:num>
  <w:num w:numId="27">
    <w:abstractNumId w:val="26"/>
  </w:num>
  <w:num w:numId="28">
    <w:abstractNumId w:val="11"/>
  </w:num>
  <w:num w:numId="29">
    <w:abstractNumId w:val="3"/>
  </w:num>
  <w:num w:numId="30">
    <w:abstractNumId w:val="18"/>
  </w:num>
  <w:num w:numId="31">
    <w:abstractNumId w:val="14"/>
  </w:num>
  <w:num w:numId="32">
    <w:abstractNumId w:val="19"/>
  </w:num>
  <w:num w:numId="33">
    <w:abstractNumId w:val="16"/>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46"/>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452"/>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7A0"/>
    <w:rsid w:val="0002180A"/>
    <w:rsid w:val="00021874"/>
    <w:rsid w:val="0002232D"/>
    <w:rsid w:val="000223E8"/>
    <w:rsid w:val="00022625"/>
    <w:rsid w:val="00022A0D"/>
    <w:rsid w:val="00022CCB"/>
    <w:rsid w:val="00023990"/>
    <w:rsid w:val="000239F5"/>
    <w:rsid w:val="00023AE6"/>
    <w:rsid w:val="00023C59"/>
    <w:rsid w:val="0002411A"/>
    <w:rsid w:val="00024216"/>
    <w:rsid w:val="00024518"/>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6BD"/>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3FE0"/>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5B5"/>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29"/>
    <w:rsid w:val="0007706A"/>
    <w:rsid w:val="00077264"/>
    <w:rsid w:val="00077E79"/>
    <w:rsid w:val="00077FE0"/>
    <w:rsid w:val="00080433"/>
    <w:rsid w:val="0008050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C01"/>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170"/>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40C"/>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5"/>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B66"/>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63"/>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A94"/>
    <w:rsid w:val="000F2B64"/>
    <w:rsid w:val="000F2C30"/>
    <w:rsid w:val="000F2D59"/>
    <w:rsid w:val="000F33F8"/>
    <w:rsid w:val="000F3CD5"/>
    <w:rsid w:val="000F3F4F"/>
    <w:rsid w:val="000F52A8"/>
    <w:rsid w:val="000F531C"/>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1F54"/>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8BC"/>
    <w:rsid w:val="00104C7B"/>
    <w:rsid w:val="00104EC3"/>
    <w:rsid w:val="0010522E"/>
    <w:rsid w:val="001057B9"/>
    <w:rsid w:val="00105D2B"/>
    <w:rsid w:val="0010635D"/>
    <w:rsid w:val="00106970"/>
    <w:rsid w:val="00106E80"/>
    <w:rsid w:val="001074E7"/>
    <w:rsid w:val="001075DD"/>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4CF3"/>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95C"/>
    <w:rsid w:val="00126DA5"/>
    <w:rsid w:val="001271F9"/>
    <w:rsid w:val="00127223"/>
    <w:rsid w:val="00127407"/>
    <w:rsid w:val="0012741B"/>
    <w:rsid w:val="00127662"/>
    <w:rsid w:val="0012772E"/>
    <w:rsid w:val="00127A28"/>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211"/>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31"/>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021"/>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0A1"/>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681"/>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21D"/>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C25"/>
    <w:rsid w:val="001B4D69"/>
    <w:rsid w:val="001B4DD5"/>
    <w:rsid w:val="001B5847"/>
    <w:rsid w:val="001B590B"/>
    <w:rsid w:val="001B61DE"/>
    <w:rsid w:val="001B66C2"/>
    <w:rsid w:val="001B674A"/>
    <w:rsid w:val="001B68A0"/>
    <w:rsid w:val="001B6934"/>
    <w:rsid w:val="001B6982"/>
    <w:rsid w:val="001B6A05"/>
    <w:rsid w:val="001B6B77"/>
    <w:rsid w:val="001B7E76"/>
    <w:rsid w:val="001B7EC6"/>
    <w:rsid w:val="001B7EF9"/>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AB6"/>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4CDE"/>
    <w:rsid w:val="001E537A"/>
    <w:rsid w:val="001E57E7"/>
    <w:rsid w:val="001E584A"/>
    <w:rsid w:val="001E5958"/>
    <w:rsid w:val="001E5994"/>
    <w:rsid w:val="001E5B7F"/>
    <w:rsid w:val="001E6058"/>
    <w:rsid w:val="001E614D"/>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3D0"/>
    <w:rsid w:val="001F77DB"/>
    <w:rsid w:val="001F7827"/>
    <w:rsid w:val="001F786D"/>
    <w:rsid w:val="001F7D63"/>
    <w:rsid w:val="0020025E"/>
    <w:rsid w:val="00200D15"/>
    <w:rsid w:val="00200E52"/>
    <w:rsid w:val="00200E56"/>
    <w:rsid w:val="00200EFC"/>
    <w:rsid w:val="0020165E"/>
    <w:rsid w:val="002019FF"/>
    <w:rsid w:val="00201CA6"/>
    <w:rsid w:val="00201CB0"/>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3E74"/>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CA2"/>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B92"/>
    <w:rsid w:val="00253CF7"/>
    <w:rsid w:val="00253E9D"/>
    <w:rsid w:val="00253FB7"/>
    <w:rsid w:val="00253FBA"/>
    <w:rsid w:val="002541E7"/>
    <w:rsid w:val="00254E40"/>
    <w:rsid w:val="002553E6"/>
    <w:rsid w:val="002555F0"/>
    <w:rsid w:val="00255817"/>
    <w:rsid w:val="002559A4"/>
    <w:rsid w:val="00255C09"/>
    <w:rsid w:val="00255C3C"/>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B72"/>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CE5"/>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2C2"/>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89A"/>
    <w:rsid w:val="002C7E1C"/>
    <w:rsid w:val="002D00A3"/>
    <w:rsid w:val="002D087B"/>
    <w:rsid w:val="002D0923"/>
    <w:rsid w:val="002D0BCE"/>
    <w:rsid w:val="002D0C59"/>
    <w:rsid w:val="002D0C83"/>
    <w:rsid w:val="002D0C99"/>
    <w:rsid w:val="002D0E54"/>
    <w:rsid w:val="002D154D"/>
    <w:rsid w:val="002D1974"/>
    <w:rsid w:val="002D1B5F"/>
    <w:rsid w:val="002D1C44"/>
    <w:rsid w:val="002D1E2E"/>
    <w:rsid w:val="002D282D"/>
    <w:rsid w:val="002D2956"/>
    <w:rsid w:val="002D2ADE"/>
    <w:rsid w:val="002D2F41"/>
    <w:rsid w:val="002D2F64"/>
    <w:rsid w:val="002D34E6"/>
    <w:rsid w:val="002D35F7"/>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4BF"/>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B8"/>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C25"/>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2F5"/>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A3A"/>
    <w:rsid w:val="00372E31"/>
    <w:rsid w:val="00373006"/>
    <w:rsid w:val="00373574"/>
    <w:rsid w:val="00373582"/>
    <w:rsid w:val="00373D7E"/>
    <w:rsid w:val="00373F41"/>
    <w:rsid w:val="0037459C"/>
    <w:rsid w:val="003745A3"/>
    <w:rsid w:val="003746AC"/>
    <w:rsid w:val="00374AC2"/>
    <w:rsid w:val="00374E69"/>
    <w:rsid w:val="0037510C"/>
    <w:rsid w:val="00375737"/>
    <w:rsid w:val="00375A91"/>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010"/>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0"/>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354"/>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4A7"/>
    <w:rsid w:val="003B1B4B"/>
    <w:rsid w:val="003B1F95"/>
    <w:rsid w:val="003B2506"/>
    <w:rsid w:val="003B2540"/>
    <w:rsid w:val="003B2729"/>
    <w:rsid w:val="003B2ECD"/>
    <w:rsid w:val="003B3638"/>
    <w:rsid w:val="003B3BF9"/>
    <w:rsid w:val="003B3E40"/>
    <w:rsid w:val="003B4244"/>
    <w:rsid w:val="003B4600"/>
    <w:rsid w:val="003B4977"/>
    <w:rsid w:val="003B4B94"/>
    <w:rsid w:val="003B4BFE"/>
    <w:rsid w:val="003B5066"/>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6FE8"/>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0B0"/>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E8C"/>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98F"/>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982"/>
    <w:rsid w:val="00422BCC"/>
    <w:rsid w:val="00422C54"/>
    <w:rsid w:val="00422D93"/>
    <w:rsid w:val="00422DD7"/>
    <w:rsid w:val="00422E03"/>
    <w:rsid w:val="00422E0A"/>
    <w:rsid w:val="0042305C"/>
    <w:rsid w:val="0042320D"/>
    <w:rsid w:val="0042335E"/>
    <w:rsid w:val="0042346E"/>
    <w:rsid w:val="00423FE3"/>
    <w:rsid w:val="00423FFE"/>
    <w:rsid w:val="0042408F"/>
    <w:rsid w:val="0042427E"/>
    <w:rsid w:val="0042453D"/>
    <w:rsid w:val="00424A70"/>
    <w:rsid w:val="00424A83"/>
    <w:rsid w:val="00424CB3"/>
    <w:rsid w:val="00425203"/>
    <w:rsid w:val="0042538A"/>
    <w:rsid w:val="004255E7"/>
    <w:rsid w:val="0042582A"/>
    <w:rsid w:val="00425B32"/>
    <w:rsid w:val="00425E78"/>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75"/>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0E9"/>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2F1"/>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10F"/>
    <w:rsid w:val="0047222C"/>
    <w:rsid w:val="004722D3"/>
    <w:rsid w:val="004729B1"/>
    <w:rsid w:val="004729EB"/>
    <w:rsid w:val="0047309A"/>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78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26B"/>
    <w:rsid w:val="004B7675"/>
    <w:rsid w:val="004B7689"/>
    <w:rsid w:val="004C0000"/>
    <w:rsid w:val="004C044D"/>
    <w:rsid w:val="004C0582"/>
    <w:rsid w:val="004C071C"/>
    <w:rsid w:val="004C08F5"/>
    <w:rsid w:val="004C0D02"/>
    <w:rsid w:val="004C1297"/>
    <w:rsid w:val="004C12AF"/>
    <w:rsid w:val="004C149D"/>
    <w:rsid w:val="004C1619"/>
    <w:rsid w:val="004C1888"/>
    <w:rsid w:val="004C18C9"/>
    <w:rsid w:val="004C1A8E"/>
    <w:rsid w:val="004C1D78"/>
    <w:rsid w:val="004C226E"/>
    <w:rsid w:val="004C25D3"/>
    <w:rsid w:val="004C27F8"/>
    <w:rsid w:val="004C2A4F"/>
    <w:rsid w:val="004C2C08"/>
    <w:rsid w:val="004C2DF2"/>
    <w:rsid w:val="004C2FC5"/>
    <w:rsid w:val="004C321F"/>
    <w:rsid w:val="004C325A"/>
    <w:rsid w:val="004C352A"/>
    <w:rsid w:val="004C3617"/>
    <w:rsid w:val="004C3928"/>
    <w:rsid w:val="004C3FB5"/>
    <w:rsid w:val="004C437D"/>
    <w:rsid w:val="004C4708"/>
    <w:rsid w:val="004C4BE6"/>
    <w:rsid w:val="004C5505"/>
    <w:rsid w:val="004C5B2A"/>
    <w:rsid w:val="004C5BF6"/>
    <w:rsid w:val="004C5C3C"/>
    <w:rsid w:val="004C5D7E"/>
    <w:rsid w:val="004C5DDC"/>
    <w:rsid w:val="004C5F14"/>
    <w:rsid w:val="004C6486"/>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6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6EDA"/>
    <w:rsid w:val="004E7064"/>
    <w:rsid w:val="004E78C8"/>
    <w:rsid w:val="004E7940"/>
    <w:rsid w:val="004E7B91"/>
    <w:rsid w:val="004F0795"/>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8EA"/>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35F6"/>
    <w:rsid w:val="005048BE"/>
    <w:rsid w:val="00504C95"/>
    <w:rsid w:val="00504D17"/>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B6"/>
    <w:rsid w:val="005103C2"/>
    <w:rsid w:val="00510D7E"/>
    <w:rsid w:val="00510DCD"/>
    <w:rsid w:val="00511476"/>
    <w:rsid w:val="00511973"/>
    <w:rsid w:val="00511C2E"/>
    <w:rsid w:val="005124C0"/>
    <w:rsid w:val="005124F4"/>
    <w:rsid w:val="0051265A"/>
    <w:rsid w:val="00512ABF"/>
    <w:rsid w:val="00512B9F"/>
    <w:rsid w:val="00513169"/>
    <w:rsid w:val="00513537"/>
    <w:rsid w:val="00513B3A"/>
    <w:rsid w:val="00513DAE"/>
    <w:rsid w:val="005146DA"/>
    <w:rsid w:val="005151D3"/>
    <w:rsid w:val="00515AB2"/>
    <w:rsid w:val="00515D82"/>
    <w:rsid w:val="00515E29"/>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9BC"/>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7EC"/>
    <w:rsid w:val="00552C6C"/>
    <w:rsid w:val="005536FE"/>
    <w:rsid w:val="00553816"/>
    <w:rsid w:val="0055397B"/>
    <w:rsid w:val="00553AE1"/>
    <w:rsid w:val="00553BBD"/>
    <w:rsid w:val="005540AB"/>
    <w:rsid w:val="005541F1"/>
    <w:rsid w:val="00554B68"/>
    <w:rsid w:val="00554C5E"/>
    <w:rsid w:val="00554F48"/>
    <w:rsid w:val="0055503E"/>
    <w:rsid w:val="0055522B"/>
    <w:rsid w:val="005555C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41"/>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243"/>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0AD"/>
    <w:rsid w:val="005B03E7"/>
    <w:rsid w:val="005B0860"/>
    <w:rsid w:val="005B0AF1"/>
    <w:rsid w:val="005B0D7B"/>
    <w:rsid w:val="005B15F9"/>
    <w:rsid w:val="005B192E"/>
    <w:rsid w:val="005B21B5"/>
    <w:rsid w:val="005B26FD"/>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527"/>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A42"/>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90D"/>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93D"/>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0FD"/>
    <w:rsid w:val="0062293E"/>
    <w:rsid w:val="00622D1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08"/>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4EFA"/>
    <w:rsid w:val="006352DC"/>
    <w:rsid w:val="00635564"/>
    <w:rsid w:val="006358AE"/>
    <w:rsid w:val="00635924"/>
    <w:rsid w:val="0063592D"/>
    <w:rsid w:val="00635B05"/>
    <w:rsid w:val="00635B23"/>
    <w:rsid w:val="00635D35"/>
    <w:rsid w:val="00635DFA"/>
    <w:rsid w:val="00635E06"/>
    <w:rsid w:val="00635FF3"/>
    <w:rsid w:val="00636784"/>
    <w:rsid w:val="006367FE"/>
    <w:rsid w:val="00636C9D"/>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43E"/>
    <w:rsid w:val="00663597"/>
    <w:rsid w:val="00663606"/>
    <w:rsid w:val="0066363C"/>
    <w:rsid w:val="00663D65"/>
    <w:rsid w:val="00663DAF"/>
    <w:rsid w:val="00663E5B"/>
    <w:rsid w:val="00663E64"/>
    <w:rsid w:val="00664489"/>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35F"/>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038"/>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1F"/>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135"/>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BBC"/>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9AB"/>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0E33"/>
    <w:rsid w:val="006F1525"/>
    <w:rsid w:val="006F1535"/>
    <w:rsid w:val="006F1573"/>
    <w:rsid w:val="006F15AD"/>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3FDB"/>
    <w:rsid w:val="0072448E"/>
    <w:rsid w:val="0072484D"/>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762"/>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4BF8"/>
    <w:rsid w:val="0074507D"/>
    <w:rsid w:val="007452CF"/>
    <w:rsid w:val="00745344"/>
    <w:rsid w:val="00745AAB"/>
    <w:rsid w:val="00746184"/>
    <w:rsid w:val="0074659C"/>
    <w:rsid w:val="0074697D"/>
    <w:rsid w:val="00746F72"/>
    <w:rsid w:val="00747B09"/>
    <w:rsid w:val="00747FBF"/>
    <w:rsid w:val="00750207"/>
    <w:rsid w:val="00750AF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4B88"/>
    <w:rsid w:val="007650BF"/>
    <w:rsid w:val="007656A9"/>
    <w:rsid w:val="00765749"/>
    <w:rsid w:val="007660A7"/>
    <w:rsid w:val="007660CE"/>
    <w:rsid w:val="007663F2"/>
    <w:rsid w:val="00766454"/>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2E"/>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93"/>
    <w:rsid w:val="007B70EB"/>
    <w:rsid w:val="007B77F7"/>
    <w:rsid w:val="007B7929"/>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259"/>
    <w:rsid w:val="007C529E"/>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5EA1"/>
    <w:rsid w:val="007D61CC"/>
    <w:rsid w:val="007D6904"/>
    <w:rsid w:val="007D6CE6"/>
    <w:rsid w:val="007D77B4"/>
    <w:rsid w:val="007D7872"/>
    <w:rsid w:val="007E003B"/>
    <w:rsid w:val="007E0200"/>
    <w:rsid w:val="007E050F"/>
    <w:rsid w:val="007E086D"/>
    <w:rsid w:val="007E0A1E"/>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AED"/>
    <w:rsid w:val="007F7D27"/>
    <w:rsid w:val="007F7D48"/>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3D7"/>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C05"/>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5F82"/>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72"/>
    <w:rsid w:val="008B1B69"/>
    <w:rsid w:val="008B1ED0"/>
    <w:rsid w:val="008B2562"/>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23F"/>
    <w:rsid w:val="008C6760"/>
    <w:rsid w:val="008C698C"/>
    <w:rsid w:val="008C6ADA"/>
    <w:rsid w:val="008C6DB4"/>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DA"/>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0F57"/>
    <w:rsid w:val="00911040"/>
    <w:rsid w:val="009115EC"/>
    <w:rsid w:val="00911EB5"/>
    <w:rsid w:val="00912040"/>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731"/>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503"/>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A9A"/>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093"/>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1F2"/>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05F"/>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0F6"/>
    <w:rsid w:val="009C4147"/>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AA0"/>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7BC"/>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CBE"/>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6F79"/>
    <w:rsid w:val="00A17013"/>
    <w:rsid w:val="00A170D3"/>
    <w:rsid w:val="00A1737D"/>
    <w:rsid w:val="00A173BC"/>
    <w:rsid w:val="00A179C1"/>
    <w:rsid w:val="00A17CE5"/>
    <w:rsid w:val="00A2032F"/>
    <w:rsid w:val="00A20617"/>
    <w:rsid w:val="00A20D28"/>
    <w:rsid w:val="00A20D2B"/>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5FC"/>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715"/>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2F23"/>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88E"/>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0C6"/>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6B6"/>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228"/>
    <w:rsid w:val="00AD63A5"/>
    <w:rsid w:val="00AD63BB"/>
    <w:rsid w:val="00AD693F"/>
    <w:rsid w:val="00AD71E4"/>
    <w:rsid w:val="00AD7697"/>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486"/>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6CE"/>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38E"/>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2F6"/>
    <w:rsid w:val="00B545F3"/>
    <w:rsid w:val="00B5471A"/>
    <w:rsid w:val="00B54954"/>
    <w:rsid w:val="00B54AFF"/>
    <w:rsid w:val="00B54D93"/>
    <w:rsid w:val="00B559FA"/>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D13"/>
    <w:rsid w:val="00B63FB5"/>
    <w:rsid w:val="00B64011"/>
    <w:rsid w:val="00B64B56"/>
    <w:rsid w:val="00B64BAA"/>
    <w:rsid w:val="00B64C54"/>
    <w:rsid w:val="00B64DE6"/>
    <w:rsid w:val="00B64F9D"/>
    <w:rsid w:val="00B650CA"/>
    <w:rsid w:val="00B661D3"/>
    <w:rsid w:val="00B66434"/>
    <w:rsid w:val="00B66CA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2CB"/>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05"/>
    <w:rsid w:val="00B761B3"/>
    <w:rsid w:val="00B761EB"/>
    <w:rsid w:val="00B763D4"/>
    <w:rsid w:val="00B76411"/>
    <w:rsid w:val="00B7658D"/>
    <w:rsid w:val="00B7661D"/>
    <w:rsid w:val="00B768BC"/>
    <w:rsid w:val="00B76B55"/>
    <w:rsid w:val="00B76D54"/>
    <w:rsid w:val="00B77292"/>
    <w:rsid w:val="00B77413"/>
    <w:rsid w:val="00B774A6"/>
    <w:rsid w:val="00B7772E"/>
    <w:rsid w:val="00B777F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3F8E"/>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683"/>
    <w:rsid w:val="00BF371B"/>
    <w:rsid w:val="00BF3922"/>
    <w:rsid w:val="00BF39A4"/>
    <w:rsid w:val="00BF3C8D"/>
    <w:rsid w:val="00BF40A8"/>
    <w:rsid w:val="00BF41A9"/>
    <w:rsid w:val="00BF4FD8"/>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C1F"/>
    <w:rsid w:val="00C07E89"/>
    <w:rsid w:val="00C07FC4"/>
    <w:rsid w:val="00C10343"/>
    <w:rsid w:val="00C10EE8"/>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13"/>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4C"/>
    <w:rsid w:val="00C273E7"/>
    <w:rsid w:val="00C27631"/>
    <w:rsid w:val="00C27668"/>
    <w:rsid w:val="00C278C6"/>
    <w:rsid w:val="00C278D5"/>
    <w:rsid w:val="00C27D90"/>
    <w:rsid w:val="00C27F21"/>
    <w:rsid w:val="00C30307"/>
    <w:rsid w:val="00C3070B"/>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69"/>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241"/>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8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270"/>
    <w:rsid w:val="00C644C8"/>
    <w:rsid w:val="00C64668"/>
    <w:rsid w:val="00C64915"/>
    <w:rsid w:val="00C6495E"/>
    <w:rsid w:val="00C64DCA"/>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6966"/>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20"/>
    <w:rsid w:val="00CE3964"/>
    <w:rsid w:val="00CE40B3"/>
    <w:rsid w:val="00CE413D"/>
    <w:rsid w:val="00CE4770"/>
    <w:rsid w:val="00CE480B"/>
    <w:rsid w:val="00CE5355"/>
    <w:rsid w:val="00CE55B0"/>
    <w:rsid w:val="00CE56FD"/>
    <w:rsid w:val="00CE580A"/>
    <w:rsid w:val="00CE59DF"/>
    <w:rsid w:val="00CE5AF1"/>
    <w:rsid w:val="00CE5D68"/>
    <w:rsid w:val="00CE626F"/>
    <w:rsid w:val="00CE696F"/>
    <w:rsid w:val="00CE69F5"/>
    <w:rsid w:val="00CE6A79"/>
    <w:rsid w:val="00CE6D07"/>
    <w:rsid w:val="00CE6DA3"/>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EB"/>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475"/>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BD0"/>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694"/>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2CB"/>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7AC"/>
    <w:rsid w:val="00DC2BD7"/>
    <w:rsid w:val="00DC2E84"/>
    <w:rsid w:val="00DC2EF6"/>
    <w:rsid w:val="00DC3332"/>
    <w:rsid w:val="00DC346E"/>
    <w:rsid w:val="00DC357F"/>
    <w:rsid w:val="00DC3B7E"/>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7DC"/>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4E4E"/>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917"/>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6CB5"/>
    <w:rsid w:val="00E17259"/>
    <w:rsid w:val="00E172B8"/>
    <w:rsid w:val="00E17789"/>
    <w:rsid w:val="00E17944"/>
    <w:rsid w:val="00E179FD"/>
    <w:rsid w:val="00E17D20"/>
    <w:rsid w:val="00E2017B"/>
    <w:rsid w:val="00E205D1"/>
    <w:rsid w:val="00E206FD"/>
    <w:rsid w:val="00E20767"/>
    <w:rsid w:val="00E20BCD"/>
    <w:rsid w:val="00E20C91"/>
    <w:rsid w:val="00E20F6F"/>
    <w:rsid w:val="00E21213"/>
    <w:rsid w:val="00E21239"/>
    <w:rsid w:val="00E21E08"/>
    <w:rsid w:val="00E21F58"/>
    <w:rsid w:val="00E22312"/>
    <w:rsid w:val="00E22680"/>
    <w:rsid w:val="00E22B93"/>
    <w:rsid w:val="00E23423"/>
    <w:rsid w:val="00E23FF0"/>
    <w:rsid w:val="00E24020"/>
    <w:rsid w:val="00E2416F"/>
    <w:rsid w:val="00E246DB"/>
    <w:rsid w:val="00E24AE2"/>
    <w:rsid w:val="00E24B05"/>
    <w:rsid w:val="00E24B07"/>
    <w:rsid w:val="00E24BF1"/>
    <w:rsid w:val="00E24C6E"/>
    <w:rsid w:val="00E25241"/>
    <w:rsid w:val="00E25329"/>
    <w:rsid w:val="00E253FE"/>
    <w:rsid w:val="00E2558C"/>
    <w:rsid w:val="00E258BF"/>
    <w:rsid w:val="00E25A83"/>
    <w:rsid w:val="00E25EEE"/>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4E3"/>
    <w:rsid w:val="00E31558"/>
    <w:rsid w:val="00E31C95"/>
    <w:rsid w:val="00E31E1A"/>
    <w:rsid w:val="00E32066"/>
    <w:rsid w:val="00E32A99"/>
    <w:rsid w:val="00E331AA"/>
    <w:rsid w:val="00E33A5A"/>
    <w:rsid w:val="00E33AE8"/>
    <w:rsid w:val="00E33CB9"/>
    <w:rsid w:val="00E340F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1D4"/>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7FD"/>
    <w:rsid w:val="00E66E90"/>
    <w:rsid w:val="00E66FB9"/>
    <w:rsid w:val="00E673D6"/>
    <w:rsid w:val="00E6749F"/>
    <w:rsid w:val="00E67AAC"/>
    <w:rsid w:val="00E67EEB"/>
    <w:rsid w:val="00E703F4"/>
    <w:rsid w:val="00E7044A"/>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365"/>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4FA4"/>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1C"/>
    <w:rsid w:val="00EC7302"/>
    <w:rsid w:val="00EC7364"/>
    <w:rsid w:val="00EC7398"/>
    <w:rsid w:val="00EC7C44"/>
    <w:rsid w:val="00EC7CBA"/>
    <w:rsid w:val="00EC7DFE"/>
    <w:rsid w:val="00ED0231"/>
    <w:rsid w:val="00ED02DD"/>
    <w:rsid w:val="00ED04A4"/>
    <w:rsid w:val="00ED0607"/>
    <w:rsid w:val="00ED07D2"/>
    <w:rsid w:val="00ED0E63"/>
    <w:rsid w:val="00ED10A7"/>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1E2"/>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4EC6"/>
    <w:rsid w:val="00F04F19"/>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55"/>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85E"/>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44"/>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D3D"/>
    <w:rsid w:val="00F61EE5"/>
    <w:rsid w:val="00F627E9"/>
    <w:rsid w:val="00F62897"/>
    <w:rsid w:val="00F62B53"/>
    <w:rsid w:val="00F62C86"/>
    <w:rsid w:val="00F62C99"/>
    <w:rsid w:val="00F62CBF"/>
    <w:rsid w:val="00F63460"/>
    <w:rsid w:val="00F63964"/>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3EB"/>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2FF2"/>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B8D"/>
    <w:rsid w:val="00FA0C78"/>
    <w:rsid w:val="00FA0EB8"/>
    <w:rsid w:val="00FA1345"/>
    <w:rsid w:val="00FA14B7"/>
    <w:rsid w:val="00FA1793"/>
    <w:rsid w:val="00FA1868"/>
    <w:rsid w:val="00FA1B85"/>
    <w:rsid w:val="00FA1C12"/>
    <w:rsid w:val="00FA249E"/>
    <w:rsid w:val="00FA2500"/>
    <w:rsid w:val="00FA2851"/>
    <w:rsid w:val="00FA2977"/>
    <w:rsid w:val="00FA2A1F"/>
    <w:rsid w:val="00FA30B6"/>
    <w:rsid w:val="00FA31CF"/>
    <w:rsid w:val="00FA3236"/>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B0D"/>
    <w:rsid w:val="00FB3D14"/>
    <w:rsid w:val="00FB41B5"/>
    <w:rsid w:val="00FB4271"/>
    <w:rsid w:val="00FB43EB"/>
    <w:rsid w:val="00FB44C0"/>
    <w:rsid w:val="00FB4694"/>
    <w:rsid w:val="00FB4B3C"/>
    <w:rsid w:val="00FB4E99"/>
    <w:rsid w:val="00FB52CB"/>
    <w:rsid w:val="00FB5550"/>
    <w:rsid w:val="00FB558B"/>
    <w:rsid w:val="00FB57B3"/>
    <w:rsid w:val="00FB5881"/>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7B3"/>
    <w:rsid w:val="00FC68DE"/>
    <w:rsid w:val="00FC6995"/>
    <w:rsid w:val="00FC6EA9"/>
    <w:rsid w:val="00FC71E1"/>
    <w:rsid w:val="00FC7259"/>
    <w:rsid w:val="00FC73D0"/>
    <w:rsid w:val="00FC7471"/>
    <w:rsid w:val="00FC74CA"/>
    <w:rsid w:val="00FC775F"/>
    <w:rsid w:val="00FD02AD"/>
    <w:rsid w:val="00FD0378"/>
    <w:rsid w:val="00FD03F3"/>
    <w:rsid w:val="00FD0497"/>
    <w:rsid w:val="00FD0677"/>
    <w:rsid w:val="00FD0796"/>
    <w:rsid w:val="00FD0A2C"/>
    <w:rsid w:val="00FD0AA2"/>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BDA"/>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10116"/>
        <w:tab w:val="num" w:pos="8226"/>
      </w:tabs>
      <w:spacing w:before="180"/>
      <w:ind w:left="8226"/>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Table Heading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tion Char Char1 Char,cap Char2,cap1,cap2,cap11,Légende-figure,Légende-figure Char,Beschrifubg,Beschriftung Char,label,cap11 Char,cap11 Char Char Char,captions,Beschriftung Char Char,cap3,cap4,cap5,cap6,cap7"/>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paragraph" w:customStyle="1" w:styleId="LGTdoc1">
    <w:name w:val="LGTdoc_제목1"/>
    <w:basedOn w:val="Normal"/>
    <w:link w:val="LGTdoc1Char"/>
    <w:rsid w:val="003D30B0"/>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3D30B0"/>
    <w:rPr>
      <w:rFonts w:ascii="Times New Roman" w:eastAsia="Batang" w:hAnsi="Times New Roman"/>
      <w:b/>
      <w:snapToGrid w:val="0"/>
      <w:sz w:val="28"/>
      <w:lang w:val="en-GB"/>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4E6EDA"/>
    <w:rPr>
      <w:rFonts w:ascii="Times New Roman" w:hAnsi="Times New Roman"/>
      <w:b/>
      <w:lang w:val="en-GB" w:eastAsia="en-US"/>
    </w:rPr>
  </w:style>
  <w:style w:type="paragraph" w:customStyle="1" w:styleId="PropObs">
    <w:name w:val="PropObs"/>
    <w:basedOn w:val="Normal"/>
    <w:link w:val="PropObsChar"/>
    <w:qFormat/>
    <w:rsid w:val="00DE4E4E"/>
    <w:pPr>
      <w:numPr>
        <w:numId w:val="20"/>
      </w:numPr>
      <w:spacing w:after="0"/>
      <w:ind w:left="1134" w:hanging="1134"/>
      <w:jc w:val="both"/>
    </w:pPr>
    <w:rPr>
      <w:rFonts w:ascii="Calibri" w:hAnsi="Calibri"/>
      <w:b/>
      <w:lang w:eastAsia="sv-SE"/>
    </w:rPr>
  </w:style>
  <w:style w:type="character" w:customStyle="1" w:styleId="PropObsChar">
    <w:name w:val="PropObs Char"/>
    <w:link w:val="PropObs"/>
    <w:rsid w:val="00DE4E4E"/>
    <w:rPr>
      <w:rFonts w:ascii="Calibri" w:hAnsi="Calibri"/>
      <w:b/>
      <w:lang w:val="en-GB" w:eastAsia="sv-S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FF1BD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6689">
      <w:bodyDiv w:val="1"/>
      <w:marLeft w:val="0"/>
      <w:marRight w:val="0"/>
      <w:marTop w:val="0"/>
      <w:marBottom w:val="0"/>
      <w:divBdr>
        <w:top w:val="none" w:sz="0" w:space="0" w:color="auto"/>
        <w:left w:val="none" w:sz="0" w:space="0" w:color="auto"/>
        <w:bottom w:val="none" w:sz="0" w:space="0" w:color="auto"/>
        <w:right w:val="none" w:sz="0" w:space="0" w:color="auto"/>
      </w:divBdr>
    </w:div>
    <w:div w:id="224391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81004">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37840714">
      <w:bodyDiv w:val="1"/>
      <w:marLeft w:val="0"/>
      <w:marRight w:val="0"/>
      <w:marTop w:val="0"/>
      <w:marBottom w:val="0"/>
      <w:divBdr>
        <w:top w:val="none" w:sz="0" w:space="0" w:color="auto"/>
        <w:left w:val="none" w:sz="0" w:space="0" w:color="auto"/>
        <w:bottom w:val="none" w:sz="0" w:space="0" w:color="auto"/>
        <w:right w:val="none" w:sz="0" w:space="0" w:color="auto"/>
      </w:divBdr>
    </w:div>
    <w:div w:id="158546572">
      <w:bodyDiv w:val="1"/>
      <w:marLeft w:val="0"/>
      <w:marRight w:val="0"/>
      <w:marTop w:val="0"/>
      <w:marBottom w:val="0"/>
      <w:divBdr>
        <w:top w:val="none" w:sz="0" w:space="0" w:color="auto"/>
        <w:left w:val="none" w:sz="0" w:space="0" w:color="auto"/>
        <w:bottom w:val="none" w:sz="0" w:space="0" w:color="auto"/>
        <w:right w:val="none" w:sz="0" w:space="0" w:color="auto"/>
      </w:divBdr>
    </w:div>
    <w:div w:id="163055872">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34782606">
      <w:bodyDiv w:val="1"/>
      <w:marLeft w:val="0"/>
      <w:marRight w:val="0"/>
      <w:marTop w:val="0"/>
      <w:marBottom w:val="0"/>
      <w:divBdr>
        <w:top w:val="none" w:sz="0" w:space="0" w:color="auto"/>
        <w:left w:val="none" w:sz="0" w:space="0" w:color="auto"/>
        <w:bottom w:val="none" w:sz="0" w:space="0" w:color="auto"/>
        <w:right w:val="none" w:sz="0" w:space="0" w:color="auto"/>
      </w:divBdr>
    </w:div>
    <w:div w:id="23671823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7227777">
      <w:bodyDiv w:val="1"/>
      <w:marLeft w:val="0"/>
      <w:marRight w:val="0"/>
      <w:marTop w:val="0"/>
      <w:marBottom w:val="0"/>
      <w:divBdr>
        <w:top w:val="none" w:sz="0" w:space="0" w:color="auto"/>
        <w:left w:val="none" w:sz="0" w:space="0" w:color="auto"/>
        <w:bottom w:val="none" w:sz="0" w:space="0" w:color="auto"/>
        <w:right w:val="none" w:sz="0" w:space="0" w:color="auto"/>
      </w:divBdr>
    </w:div>
    <w:div w:id="272834278">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3356841">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630156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5207674">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8016168">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463160">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8366554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848627">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42180796">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763184">
      <w:bodyDiv w:val="1"/>
      <w:marLeft w:val="0"/>
      <w:marRight w:val="0"/>
      <w:marTop w:val="0"/>
      <w:marBottom w:val="0"/>
      <w:divBdr>
        <w:top w:val="none" w:sz="0" w:space="0" w:color="auto"/>
        <w:left w:val="none" w:sz="0" w:space="0" w:color="auto"/>
        <w:bottom w:val="none" w:sz="0" w:space="0" w:color="auto"/>
        <w:right w:val="none" w:sz="0" w:space="0" w:color="auto"/>
      </w:divBdr>
    </w:div>
    <w:div w:id="6266656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49036578">
      <w:bodyDiv w:val="1"/>
      <w:marLeft w:val="0"/>
      <w:marRight w:val="0"/>
      <w:marTop w:val="0"/>
      <w:marBottom w:val="0"/>
      <w:divBdr>
        <w:top w:val="none" w:sz="0" w:space="0" w:color="auto"/>
        <w:left w:val="none" w:sz="0" w:space="0" w:color="auto"/>
        <w:bottom w:val="none" w:sz="0" w:space="0" w:color="auto"/>
        <w:right w:val="none" w:sz="0" w:space="0" w:color="auto"/>
      </w:divBdr>
    </w:div>
    <w:div w:id="7589134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0072693">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99390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8219834">
      <w:bodyDiv w:val="1"/>
      <w:marLeft w:val="0"/>
      <w:marRight w:val="0"/>
      <w:marTop w:val="0"/>
      <w:marBottom w:val="0"/>
      <w:divBdr>
        <w:top w:val="none" w:sz="0" w:space="0" w:color="auto"/>
        <w:left w:val="none" w:sz="0" w:space="0" w:color="auto"/>
        <w:bottom w:val="none" w:sz="0" w:space="0" w:color="auto"/>
        <w:right w:val="none" w:sz="0" w:space="0" w:color="auto"/>
      </w:divBdr>
    </w:div>
    <w:div w:id="938609848">
      <w:bodyDiv w:val="1"/>
      <w:marLeft w:val="0"/>
      <w:marRight w:val="0"/>
      <w:marTop w:val="0"/>
      <w:marBottom w:val="0"/>
      <w:divBdr>
        <w:top w:val="none" w:sz="0" w:space="0" w:color="auto"/>
        <w:left w:val="none" w:sz="0" w:space="0" w:color="auto"/>
        <w:bottom w:val="none" w:sz="0" w:space="0" w:color="auto"/>
        <w:right w:val="none" w:sz="0" w:space="0" w:color="auto"/>
      </w:divBdr>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0842593">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07134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3578870">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1487838">
      <w:bodyDiv w:val="1"/>
      <w:marLeft w:val="0"/>
      <w:marRight w:val="0"/>
      <w:marTop w:val="0"/>
      <w:marBottom w:val="0"/>
      <w:divBdr>
        <w:top w:val="none" w:sz="0" w:space="0" w:color="auto"/>
        <w:left w:val="none" w:sz="0" w:space="0" w:color="auto"/>
        <w:bottom w:val="none" w:sz="0" w:space="0" w:color="auto"/>
        <w:right w:val="none" w:sz="0" w:space="0" w:color="auto"/>
      </w:divBdr>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3522109">
      <w:bodyDiv w:val="1"/>
      <w:marLeft w:val="0"/>
      <w:marRight w:val="0"/>
      <w:marTop w:val="0"/>
      <w:marBottom w:val="0"/>
      <w:divBdr>
        <w:top w:val="none" w:sz="0" w:space="0" w:color="auto"/>
        <w:left w:val="none" w:sz="0" w:space="0" w:color="auto"/>
        <w:bottom w:val="none" w:sz="0" w:space="0" w:color="auto"/>
        <w:right w:val="none" w:sz="0" w:space="0" w:color="auto"/>
      </w:divBdr>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346536">
      <w:bodyDiv w:val="1"/>
      <w:marLeft w:val="0"/>
      <w:marRight w:val="0"/>
      <w:marTop w:val="0"/>
      <w:marBottom w:val="0"/>
      <w:divBdr>
        <w:top w:val="none" w:sz="0" w:space="0" w:color="auto"/>
        <w:left w:val="none" w:sz="0" w:space="0" w:color="auto"/>
        <w:bottom w:val="none" w:sz="0" w:space="0" w:color="auto"/>
        <w:right w:val="none" w:sz="0" w:space="0" w:color="auto"/>
      </w:divBdr>
    </w:div>
    <w:div w:id="118694635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2902447">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1736861">
      <w:bodyDiv w:val="1"/>
      <w:marLeft w:val="0"/>
      <w:marRight w:val="0"/>
      <w:marTop w:val="0"/>
      <w:marBottom w:val="0"/>
      <w:divBdr>
        <w:top w:val="none" w:sz="0" w:space="0" w:color="auto"/>
        <w:left w:val="none" w:sz="0" w:space="0" w:color="auto"/>
        <w:bottom w:val="none" w:sz="0" w:space="0" w:color="auto"/>
        <w:right w:val="none" w:sz="0" w:space="0" w:color="auto"/>
      </w:divBdr>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723481">
      <w:bodyDiv w:val="1"/>
      <w:marLeft w:val="0"/>
      <w:marRight w:val="0"/>
      <w:marTop w:val="0"/>
      <w:marBottom w:val="0"/>
      <w:divBdr>
        <w:top w:val="none" w:sz="0" w:space="0" w:color="auto"/>
        <w:left w:val="none" w:sz="0" w:space="0" w:color="auto"/>
        <w:bottom w:val="none" w:sz="0" w:space="0" w:color="auto"/>
        <w:right w:val="none" w:sz="0" w:space="0" w:color="auto"/>
      </w:divBdr>
    </w:div>
    <w:div w:id="13655990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306659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63661711">
      <w:bodyDiv w:val="1"/>
      <w:marLeft w:val="0"/>
      <w:marRight w:val="0"/>
      <w:marTop w:val="0"/>
      <w:marBottom w:val="0"/>
      <w:divBdr>
        <w:top w:val="none" w:sz="0" w:space="0" w:color="auto"/>
        <w:left w:val="none" w:sz="0" w:space="0" w:color="auto"/>
        <w:bottom w:val="none" w:sz="0" w:space="0" w:color="auto"/>
        <w:right w:val="none" w:sz="0" w:space="0" w:color="auto"/>
      </w:divBdr>
    </w:div>
    <w:div w:id="1679043524">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3917515">
      <w:bodyDiv w:val="1"/>
      <w:marLeft w:val="0"/>
      <w:marRight w:val="0"/>
      <w:marTop w:val="0"/>
      <w:marBottom w:val="0"/>
      <w:divBdr>
        <w:top w:val="none" w:sz="0" w:space="0" w:color="auto"/>
        <w:left w:val="none" w:sz="0" w:space="0" w:color="auto"/>
        <w:bottom w:val="none" w:sz="0" w:space="0" w:color="auto"/>
        <w:right w:val="none" w:sz="0" w:space="0" w:color="auto"/>
      </w:divBdr>
    </w:div>
    <w:div w:id="1805582728">
      <w:bodyDiv w:val="1"/>
      <w:marLeft w:val="0"/>
      <w:marRight w:val="0"/>
      <w:marTop w:val="0"/>
      <w:marBottom w:val="0"/>
      <w:divBdr>
        <w:top w:val="none" w:sz="0" w:space="0" w:color="auto"/>
        <w:left w:val="none" w:sz="0" w:space="0" w:color="auto"/>
        <w:bottom w:val="none" w:sz="0" w:space="0" w:color="auto"/>
        <w:right w:val="none" w:sz="0" w:space="0" w:color="auto"/>
      </w:divBdr>
    </w:div>
    <w:div w:id="1809735506">
      <w:bodyDiv w:val="1"/>
      <w:marLeft w:val="0"/>
      <w:marRight w:val="0"/>
      <w:marTop w:val="0"/>
      <w:marBottom w:val="0"/>
      <w:divBdr>
        <w:top w:val="none" w:sz="0" w:space="0" w:color="auto"/>
        <w:left w:val="none" w:sz="0" w:space="0" w:color="auto"/>
        <w:bottom w:val="none" w:sz="0" w:space="0" w:color="auto"/>
        <w:right w:val="none" w:sz="0" w:space="0" w:color="auto"/>
      </w:divBdr>
    </w:div>
    <w:div w:id="186655126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183809">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5AFB-4156-47AB-AB51-A254CB965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1227</TotalTime>
  <Pages>12</Pages>
  <Words>4292</Words>
  <Characters>24468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55</cp:revision>
  <cp:lastPrinted>2009-04-22T21:01:00Z</cp:lastPrinted>
  <dcterms:created xsi:type="dcterms:W3CDTF">2019-01-21T19:43:00Z</dcterms:created>
  <dcterms:modified xsi:type="dcterms:W3CDTF">2019-02-14T16:02:00Z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